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40AAC7" w14:textId="77777777" w:rsidR="00900DA5" w:rsidRPr="00A93DDA" w:rsidRDefault="00517978" w:rsidP="001E6982">
      <w:pPr>
        <w:pStyle w:val="Heading1"/>
      </w:pPr>
      <w:bookmarkStart w:id="0" w:name="_Toc427918385"/>
      <w:r w:rsidRPr="00A93DDA">
        <w:rPr>
          <w:noProof/>
          <w:lang w:val="en-US" w:eastAsia="en-US"/>
        </w:rPr>
        <w:drawing>
          <wp:anchor distT="0" distB="0" distL="114300" distR="114300" simplePos="0" relativeHeight="251666944" behindDoc="0" locked="0" layoutInCell="1" allowOverlap="1" wp14:anchorId="7BA79076" wp14:editId="665DF075">
            <wp:simplePos x="0" y="0"/>
            <wp:positionH relativeFrom="column">
              <wp:posOffset>-901700</wp:posOffset>
            </wp:positionH>
            <wp:positionV relativeFrom="paragraph">
              <wp:posOffset>-1064895</wp:posOffset>
            </wp:positionV>
            <wp:extent cx="7559008" cy="1069233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htergrond voorpagina"/>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9008" cy="106923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71E4710D" w14:textId="77777777" w:rsidR="00900DA5" w:rsidRPr="00A93DDA" w:rsidRDefault="00900DA5" w:rsidP="001E6982">
      <w:pPr>
        <w:pStyle w:val="Heading1"/>
      </w:pPr>
    </w:p>
    <w:p w14:paraId="63D1FAFA" w14:textId="77777777" w:rsidR="00900DA5" w:rsidRPr="00A93DDA" w:rsidRDefault="00900DA5" w:rsidP="001E6982">
      <w:pPr>
        <w:pStyle w:val="Heading1"/>
      </w:pPr>
    </w:p>
    <w:p w14:paraId="09964162" w14:textId="77777777" w:rsidR="00900DA5" w:rsidRPr="00A93DDA" w:rsidRDefault="00900DA5" w:rsidP="001E6982">
      <w:pPr>
        <w:pStyle w:val="Heading1"/>
      </w:pPr>
    </w:p>
    <w:p w14:paraId="64570A0A" w14:textId="77777777" w:rsidR="00900DA5" w:rsidRPr="00A93DDA" w:rsidRDefault="00900DA5" w:rsidP="001E6982">
      <w:pPr>
        <w:pStyle w:val="Heading1"/>
      </w:pPr>
    </w:p>
    <w:p w14:paraId="7A291FBC" w14:textId="77777777" w:rsidR="00900DA5" w:rsidRPr="00A93DDA" w:rsidRDefault="00900DA5" w:rsidP="001E6982">
      <w:pPr>
        <w:pStyle w:val="Heading1"/>
      </w:pPr>
    </w:p>
    <w:p w14:paraId="16B3640A" w14:textId="77777777" w:rsidR="00900DA5" w:rsidRPr="00A93DDA" w:rsidRDefault="00900DA5" w:rsidP="001E6982">
      <w:pPr>
        <w:pStyle w:val="Heading1"/>
      </w:pPr>
    </w:p>
    <w:bookmarkStart w:id="1" w:name="_Toc427918386"/>
    <w:p w14:paraId="7B11871B" w14:textId="77777777" w:rsidR="00900DA5" w:rsidRPr="00A93DDA" w:rsidRDefault="002C48A4" w:rsidP="001E6982">
      <w:pPr>
        <w:pStyle w:val="Heading1"/>
      </w:pPr>
      <w:r w:rsidRPr="00A93DDA">
        <w:rPr>
          <w:noProof/>
          <w:lang w:val="en-US" w:eastAsia="en-US"/>
        </w:rPr>
        <mc:AlternateContent>
          <mc:Choice Requires="wps">
            <w:drawing>
              <wp:anchor distT="152400" distB="152400" distL="152400" distR="152400" simplePos="0" relativeHeight="251667456" behindDoc="0" locked="0" layoutInCell="1" allowOverlap="1" wp14:anchorId="3CDEA06E" wp14:editId="43BD7354">
                <wp:simplePos x="0" y="0"/>
                <wp:positionH relativeFrom="page">
                  <wp:posOffset>1263650</wp:posOffset>
                </wp:positionH>
                <wp:positionV relativeFrom="page">
                  <wp:posOffset>3911600</wp:posOffset>
                </wp:positionV>
                <wp:extent cx="5016500" cy="1397000"/>
                <wp:effectExtent l="0" t="0" r="12700" b="0"/>
                <wp:wrapSquare wrapText="bothSides"/>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FB1B8EC" w14:textId="787F1341" w:rsidR="00275E75" w:rsidRPr="008915CA" w:rsidRDefault="00275E75" w:rsidP="002C48A4">
                            <w:pPr>
                              <w:pStyle w:val="Heading1"/>
                              <w:jc w:val="center"/>
                              <w:rPr>
                                <w:sz w:val="44"/>
                                <w:szCs w:val="44"/>
                              </w:rPr>
                            </w:pPr>
                            <w:r>
                              <w:rPr>
                                <w:sz w:val="44"/>
                                <w:szCs w:val="44"/>
                              </w:rPr>
                              <w:t>Policy Brief on the FIRES-Reform Strategy for Italy</w:t>
                            </w:r>
                          </w:p>
                          <w:p w14:paraId="40101A37" w14:textId="77777777" w:rsidR="00275E75" w:rsidRDefault="00275E75" w:rsidP="002C48A4">
                            <w:pPr>
                              <w:jc w:val="center"/>
                            </w:pPr>
                          </w:p>
                          <w:p w14:paraId="44CA79B6" w14:textId="57C3A976" w:rsidR="00275E75" w:rsidRPr="008915CA" w:rsidRDefault="00275E75" w:rsidP="002C48A4">
                            <w:pPr>
                              <w:jc w:val="center"/>
                              <w:rPr>
                                <w:sz w:val="22"/>
                                <w:szCs w:val="22"/>
                              </w:rPr>
                            </w:pPr>
                            <w:r>
                              <w:rPr>
                                <w:rFonts w:ascii="Helvetica" w:eastAsia="Times New Roman" w:hAnsi="Helvetica"/>
                                <w:color w:val="000000"/>
                                <w:sz w:val="18"/>
                                <w:szCs w:val="18"/>
                              </w:rPr>
                              <w:t xml:space="preserve">Mark Sanders, </w:t>
                            </w:r>
                            <w:r w:rsidRPr="007D4259">
                              <w:rPr>
                                <w:rFonts w:ascii="Helvetica" w:eastAsia="Times New Roman" w:hAnsi="Helvetica"/>
                                <w:color w:val="000000"/>
                                <w:sz w:val="18"/>
                                <w:szCs w:val="18"/>
                              </w:rPr>
                              <w:t>L</w:t>
                            </w:r>
                            <w:r>
                              <w:rPr>
                                <w:rFonts w:ascii="Helvetica" w:eastAsia="Times New Roman" w:hAnsi="Helvetica"/>
                                <w:color w:val="000000"/>
                                <w:sz w:val="18"/>
                                <w:szCs w:val="18"/>
                              </w:rPr>
                              <w:t>uca</w:t>
                            </w:r>
                            <w:r w:rsidRPr="007D4259">
                              <w:rPr>
                                <w:rFonts w:ascii="Helvetica" w:eastAsia="Times New Roman" w:hAnsi="Helvetica"/>
                                <w:color w:val="000000"/>
                                <w:sz w:val="18"/>
                                <w:szCs w:val="18"/>
                              </w:rPr>
                              <w:t xml:space="preserve"> Grilli, A</w:t>
                            </w:r>
                            <w:r>
                              <w:rPr>
                                <w:rFonts w:ascii="Helvetica" w:eastAsia="Times New Roman" w:hAnsi="Helvetica"/>
                                <w:color w:val="000000"/>
                                <w:sz w:val="18"/>
                                <w:szCs w:val="18"/>
                              </w:rPr>
                              <w:t>ndrea</w:t>
                            </w:r>
                            <w:r w:rsidRPr="007D4259">
                              <w:rPr>
                                <w:rFonts w:ascii="Helvetica" w:eastAsia="Times New Roman" w:hAnsi="Helvetica"/>
                                <w:color w:val="000000"/>
                                <w:sz w:val="18"/>
                                <w:szCs w:val="18"/>
                              </w:rPr>
                              <w:t xml:space="preserve"> Herrmann, G</w:t>
                            </w:r>
                            <w:r>
                              <w:rPr>
                                <w:rFonts w:ascii="Helvetica" w:eastAsia="Times New Roman" w:hAnsi="Helvetica"/>
                                <w:color w:val="000000"/>
                                <w:sz w:val="18"/>
                                <w:szCs w:val="18"/>
                              </w:rPr>
                              <w:t>resa Latifi</w:t>
                            </w:r>
                            <w:r w:rsidRPr="007D4259">
                              <w:rPr>
                                <w:rFonts w:ascii="Helvetica" w:eastAsia="Times New Roman" w:hAnsi="Helvetica"/>
                                <w:color w:val="000000"/>
                                <w:sz w:val="18"/>
                                <w:szCs w:val="18"/>
                              </w:rPr>
                              <w:t xml:space="preserve">, </w:t>
                            </w:r>
                            <w:r>
                              <w:rPr>
                                <w:rFonts w:ascii="Helvetica" w:eastAsia="Times New Roman" w:hAnsi="Helvetica"/>
                                <w:color w:val="000000"/>
                                <w:sz w:val="18"/>
                                <w:szCs w:val="18"/>
                              </w:rPr>
                              <w:t>Balazs Pager, Laszlo Szerb and Elisa</w:t>
                            </w:r>
                            <w:r w:rsidRPr="007D4259">
                              <w:rPr>
                                <w:rFonts w:ascii="Helvetica" w:eastAsia="Times New Roman" w:hAnsi="Helvetica"/>
                                <w:color w:val="000000"/>
                                <w:sz w:val="18"/>
                                <w:szCs w:val="18"/>
                              </w:rPr>
                              <w:t xml:space="preserve"> Terragno Bogliac</w:t>
                            </w:r>
                            <w:r>
                              <w:rPr>
                                <w:rFonts w:ascii="Helvetica" w:eastAsia="Times New Roman" w:hAnsi="Helvetica"/>
                                <w:color w:val="000000"/>
                                <w:sz w:val="18"/>
                                <w:szCs w:val="18"/>
                              </w:rPr>
                              <w:t>ci</w:t>
                            </w:r>
                            <w:r w:rsidRPr="007D4259">
                              <w:rPr>
                                <w:rFonts w:ascii="Helvetica" w:eastAsia="Times New Roman" w:hAnsi="Helvetica"/>
                                <w:color w:val="000000"/>
                                <w:sz w:val="18"/>
                                <w:szCs w:val="18"/>
                              </w:rPr>
                              <w:t>ni</w:t>
                            </w:r>
                          </w:p>
                          <w:p w14:paraId="26AC0AC5" w14:textId="77777777" w:rsidR="00275E75" w:rsidRDefault="00275E75" w:rsidP="002C48A4">
                            <w:pPr>
                              <w:spacing w:line="280" w:lineRule="atLeast"/>
                              <w:rPr>
                                <w:rFonts w:ascii="Times New Roman" w:eastAsia="Times New Roman" w:hAnsi="Times New Roman"/>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EA06E" id="Rectangle 3" o:spid="_x0000_s1026" style="position:absolute;margin-left:99.5pt;margin-top:308pt;width:395pt;height:110pt;z-index:2516674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" filled="f" stroked="f" strokeweight="1pt">
                <v:path arrowok="t"/>
                <v:textbox inset="0,0,0,0">
                  <w:txbxContent>
                    <w:p w14:paraId="5FB1B8EC" w14:textId="787F1341" w:rsidR="00275E75" w:rsidRPr="008915CA" w:rsidRDefault="00275E75" w:rsidP="002C48A4">
                      <w:pPr>
                        <w:pStyle w:val="Heading1"/>
                        <w:jc w:val="center"/>
                        <w:rPr>
                          <w:sz w:val="44"/>
                          <w:szCs w:val="44"/>
                        </w:rPr>
                      </w:pPr>
                      <w:r>
                        <w:rPr>
                          <w:sz w:val="44"/>
                          <w:szCs w:val="44"/>
                        </w:rPr>
                        <w:t>Policy Brief on the FIRES-Reform Strategy for Italy</w:t>
                      </w:r>
                    </w:p>
                    <w:p w14:paraId="40101A37" w14:textId="77777777" w:rsidR="00275E75" w:rsidRDefault="00275E75" w:rsidP="002C48A4">
                      <w:pPr>
                        <w:jc w:val="center"/>
                      </w:pPr>
                    </w:p>
                    <w:p w14:paraId="44CA79B6" w14:textId="57C3A976" w:rsidR="00275E75" w:rsidRPr="008915CA" w:rsidRDefault="00275E75" w:rsidP="002C48A4">
                      <w:pPr>
                        <w:jc w:val="center"/>
                        <w:rPr>
                          <w:sz w:val="22"/>
                          <w:szCs w:val="22"/>
                        </w:rPr>
                      </w:pPr>
                      <w:r>
                        <w:rPr>
                          <w:rFonts w:ascii="Helvetica" w:eastAsia="Times New Roman" w:hAnsi="Helvetica"/>
                          <w:color w:val="000000"/>
                          <w:sz w:val="18"/>
                          <w:szCs w:val="18"/>
                        </w:rPr>
                        <w:t xml:space="preserve">Mark Sanders, </w:t>
                      </w:r>
                      <w:r w:rsidRPr="007D4259">
                        <w:rPr>
                          <w:rFonts w:ascii="Helvetica" w:eastAsia="Times New Roman" w:hAnsi="Helvetica"/>
                          <w:color w:val="000000"/>
                          <w:sz w:val="18"/>
                          <w:szCs w:val="18"/>
                        </w:rPr>
                        <w:t>L</w:t>
                      </w:r>
                      <w:r>
                        <w:rPr>
                          <w:rFonts w:ascii="Helvetica" w:eastAsia="Times New Roman" w:hAnsi="Helvetica"/>
                          <w:color w:val="000000"/>
                          <w:sz w:val="18"/>
                          <w:szCs w:val="18"/>
                        </w:rPr>
                        <w:t>uca</w:t>
                      </w:r>
                      <w:r w:rsidRPr="007D4259">
                        <w:rPr>
                          <w:rFonts w:ascii="Helvetica" w:eastAsia="Times New Roman" w:hAnsi="Helvetica"/>
                          <w:color w:val="000000"/>
                          <w:sz w:val="18"/>
                          <w:szCs w:val="18"/>
                        </w:rPr>
                        <w:t xml:space="preserve"> Grilli, A</w:t>
                      </w:r>
                      <w:r>
                        <w:rPr>
                          <w:rFonts w:ascii="Helvetica" w:eastAsia="Times New Roman" w:hAnsi="Helvetica"/>
                          <w:color w:val="000000"/>
                          <w:sz w:val="18"/>
                          <w:szCs w:val="18"/>
                        </w:rPr>
                        <w:t>ndrea</w:t>
                      </w:r>
                      <w:r w:rsidRPr="007D4259">
                        <w:rPr>
                          <w:rFonts w:ascii="Helvetica" w:eastAsia="Times New Roman" w:hAnsi="Helvetica"/>
                          <w:color w:val="000000"/>
                          <w:sz w:val="18"/>
                          <w:szCs w:val="18"/>
                        </w:rPr>
                        <w:t xml:space="preserve"> Herrmann, G</w:t>
                      </w:r>
                      <w:r>
                        <w:rPr>
                          <w:rFonts w:ascii="Helvetica" w:eastAsia="Times New Roman" w:hAnsi="Helvetica"/>
                          <w:color w:val="000000"/>
                          <w:sz w:val="18"/>
                          <w:szCs w:val="18"/>
                        </w:rPr>
                        <w:t>resa Latifi</w:t>
                      </w:r>
                      <w:r w:rsidRPr="007D4259">
                        <w:rPr>
                          <w:rFonts w:ascii="Helvetica" w:eastAsia="Times New Roman" w:hAnsi="Helvetica"/>
                          <w:color w:val="000000"/>
                          <w:sz w:val="18"/>
                          <w:szCs w:val="18"/>
                        </w:rPr>
                        <w:t xml:space="preserve">, </w:t>
                      </w:r>
                      <w:r>
                        <w:rPr>
                          <w:rFonts w:ascii="Helvetica" w:eastAsia="Times New Roman" w:hAnsi="Helvetica"/>
                          <w:color w:val="000000"/>
                          <w:sz w:val="18"/>
                          <w:szCs w:val="18"/>
                        </w:rPr>
                        <w:t>Balazs Pager, Laszlo Szerb and Elisa</w:t>
                      </w:r>
                      <w:r w:rsidRPr="007D4259">
                        <w:rPr>
                          <w:rFonts w:ascii="Helvetica" w:eastAsia="Times New Roman" w:hAnsi="Helvetica"/>
                          <w:color w:val="000000"/>
                          <w:sz w:val="18"/>
                          <w:szCs w:val="18"/>
                        </w:rPr>
                        <w:t xml:space="preserve"> Terragno Bogliac</w:t>
                      </w:r>
                      <w:r>
                        <w:rPr>
                          <w:rFonts w:ascii="Helvetica" w:eastAsia="Times New Roman" w:hAnsi="Helvetica"/>
                          <w:color w:val="000000"/>
                          <w:sz w:val="18"/>
                          <w:szCs w:val="18"/>
                        </w:rPr>
                        <w:t>ci</w:t>
                      </w:r>
                      <w:r w:rsidRPr="007D4259">
                        <w:rPr>
                          <w:rFonts w:ascii="Helvetica" w:eastAsia="Times New Roman" w:hAnsi="Helvetica"/>
                          <w:color w:val="000000"/>
                          <w:sz w:val="18"/>
                          <w:szCs w:val="18"/>
                        </w:rPr>
                        <w:t>ni</w:t>
                      </w:r>
                    </w:p>
                    <w:p w14:paraId="26AC0AC5" w14:textId="77777777" w:rsidR="00275E75" w:rsidRDefault="00275E75" w:rsidP="002C48A4">
                      <w:pPr>
                        <w:spacing w:line="280" w:lineRule="atLeast"/>
                        <w:rPr>
                          <w:rFonts w:ascii="Times New Roman" w:eastAsia="Times New Roman" w:hAnsi="Times New Roman"/>
                          <w:lang w:bidi="x-none"/>
                        </w:rPr>
                      </w:pPr>
                    </w:p>
                  </w:txbxContent>
                </v:textbox>
                <w10:wrap type="square" anchorx="page" anchory="page"/>
              </v:rect>
            </w:pict>
          </mc:Fallback>
        </mc:AlternateContent>
      </w:r>
      <w:bookmarkEnd w:id="1"/>
    </w:p>
    <w:bookmarkStart w:id="2" w:name="_Toc427918388"/>
    <w:p w14:paraId="6A790ED7" w14:textId="77777777" w:rsidR="00900DA5" w:rsidRPr="00A93DDA" w:rsidRDefault="00682A19" w:rsidP="001E6982">
      <w:pPr>
        <w:pStyle w:val="Heading1"/>
      </w:pPr>
      <w:r w:rsidRPr="00A93DDA">
        <w:rPr>
          <w:noProof/>
          <w:lang w:val="en-US" w:eastAsia="en-US"/>
        </w:rPr>
        <mc:AlternateContent>
          <mc:Choice Requires="wps">
            <w:drawing>
              <wp:anchor distT="152400" distB="152400" distL="152400" distR="152400" simplePos="0" relativeHeight="251669504" behindDoc="0" locked="0" layoutInCell="1" allowOverlap="1" wp14:anchorId="55FE2F69" wp14:editId="136DBD71">
                <wp:simplePos x="0" y="0"/>
                <wp:positionH relativeFrom="page">
                  <wp:posOffset>3784600</wp:posOffset>
                </wp:positionH>
                <wp:positionV relativeFrom="page">
                  <wp:posOffset>6147435</wp:posOffset>
                </wp:positionV>
                <wp:extent cx="2603500" cy="3491865"/>
                <wp:effectExtent l="0" t="0" r="12700" b="13335"/>
                <wp:wrapSquare wrapText="bothSides"/>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00" cy="349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4CCA11C" w14:textId="77777777" w:rsidR="00275E75" w:rsidRPr="00C82546" w:rsidRDefault="00275E75" w:rsidP="002C48A4">
                            <w:pPr>
                              <w:pStyle w:val="frontpageSubheading"/>
                              <w:rPr>
                                <w:sz w:val="22"/>
                                <w:szCs w:val="22"/>
                              </w:rPr>
                            </w:pPr>
                            <w:r w:rsidRPr="00C82546">
                              <w:rPr>
                                <w:sz w:val="22"/>
                                <w:szCs w:val="22"/>
                              </w:rPr>
                              <w:t>Document Identifier</w:t>
                            </w:r>
                          </w:p>
                          <w:p w14:paraId="094D70D0" w14:textId="77777777" w:rsidR="00275E75" w:rsidRDefault="00275E75" w:rsidP="00726E9C">
                            <w:pPr>
                              <w:pStyle w:val="Vrijevorm"/>
                              <w:spacing w:line="280" w:lineRule="atLeast"/>
                              <w:rPr>
                                <w:rFonts w:asciiTheme="minorHAnsi" w:hAnsiTheme="minorHAnsi"/>
                                <w:color w:val="001C1C"/>
                                <w:sz w:val="20"/>
                                <w:szCs w:val="22"/>
                                <w:lang w:val="en-US"/>
                              </w:rPr>
                            </w:pPr>
                            <w:r>
                              <w:rPr>
                                <w:rFonts w:ascii="Calibri" w:hAnsi="Calibri"/>
                                <w:color w:val="001C1C"/>
                                <w:sz w:val="20"/>
                                <w:szCs w:val="22"/>
                                <w:lang w:val="en-US"/>
                              </w:rPr>
                              <w:t>Annex to D5.12 An institutional reform strategy for Germany, for Italy, and for the UK</w:t>
                            </w:r>
                          </w:p>
                          <w:p w14:paraId="7AED9388" w14:textId="77777777" w:rsidR="00275E75" w:rsidRPr="00C82546" w:rsidRDefault="00275E75" w:rsidP="002C48A4">
                            <w:pPr>
                              <w:pStyle w:val="frontpageSubheading"/>
                              <w:rPr>
                                <w:rFonts w:asciiTheme="minorHAnsi" w:hAnsiTheme="minorHAnsi"/>
                                <w:sz w:val="22"/>
                                <w:szCs w:val="22"/>
                              </w:rPr>
                            </w:pPr>
                          </w:p>
                          <w:p w14:paraId="0741BC8D" w14:textId="77777777" w:rsidR="00275E75" w:rsidRPr="008915CA" w:rsidRDefault="00275E75" w:rsidP="002C48A4">
                            <w:pPr>
                              <w:pStyle w:val="frontpageSubheading"/>
                              <w:rPr>
                                <w:sz w:val="22"/>
                                <w:szCs w:val="22"/>
                              </w:rPr>
                            </w:pPr>
                            <w:r w:rsidRPr="008915CA">
                              <w:rPr>
                                <w:sz w:val="22"/>
                                <w:szCs w:val="22"/>
                              </w:rPr>
                              <w:t>Version</w:t>
                            </w:r>
                          </w:p>
                          <w:p w14:paraId="7FEB0F50" w14:textId="77777777" w:rsidR="00275E75" w:rsidRPr="008915CA" w:rsidRDefault="00275E75" w:rsidP="002C48A4">
                            <w:pPr>
                              <w:rPr>
                                <w:sz w:val="22"/>
                                <w:szCs w:val="22"/>
                              </w:rPr>
                            </w:pPr>
                            <w:r w:rsidRPr="008915CA">
                              <w:rPr>
                                <w:sz w:val="22"/>
                                <w:szCs w:val="22"/>
                              </w:rPr>
                              <w:t>1.0</w:t>
                            </w:r>
                          </w:p>
                          <w:p w14:paraId="77B762B3" w14:textId="77777777" w:rsidR="00275E75" w:rsidRPr="008915CA" w:rsidRDefault="00275E75" w:rsidP="002C48A4">
                            <w:pPr>
                              <w:pStyle w:val="frontpageSubheading"/>
                              <w:rPr>
                                <w:sz w:val="22"/>
                                <w:szCs w:val="22"/>
                              </w:rPr>
                            </w:pPr>
                          </w:p>
                          <w:p w14:paraId="515269EF" w14:textId="77777777" w:rsidR="00275E75" w:rsidRPr="008915CA" w:rsidRDefault="00275E75" w:rsidP="002C48A4">
                            <w:pPr>
                              <w:pStyle w:val="frontpageSubheading"/>
                              <w:rPr>
                                <w:sz w:val="22"/>
                                <w:szCs w:val="22"/>
                              </w:rPr>
                            </w:pPr>
                            <w:r w:rsidRPr="008915CA">
                              <w:rPr>
                                <w:sz w:val="22"/>
                                <w:szCs w:val="22"/>
                              </w:rPr>
                              <w:t>Date Due</w:t>
                            </w:r>
                          </w:p>
                          <w:p w14:paraId="61B6C7DE" w14:textId="77777777" w:rsidR="00275E75" w:rsidRPr="008915CA" w:rsidRDefault="00275E75" w:rsidP="002C48A4">
                            <w:pPr>
                              <w:rPr>
                                <w:sz w:val="22"/>
                                <w:szCs w:val="22"/>
                              </w:rPr>
                            </w:pPr>
                            <w:r>
                              <w:rPr>
                                <w:sz w:val="22"/>
                                <w:szCs w:val="22"/>
                              </w:rPr>
                              <w:t xml:space="preserve"> M36</w:t>
                            </w:r>
                          </w:p>
                          <w:p w14:paraId="3C1E8BE1" w14:textId="77777777" w:rsidR="00275E75" w:rsidRPr="008915CA" w:rsidRDefault="00275E75" w:rsidP="002C48A4">
                            <w:pPr>
                              <w:pStyle w:val="frontpageSubheading"/>
                              <w:rPr>
                                <w:color w:val="001C1C"/>
                                <w:sz w:val="22"/>
                                <w:szCs w:val="22"/>
                              </w:rPr>
                            </w:pPr>
                          </w:p>
                          <w:p w14:paraId="7AE916B8" w14:textId="77777777" w:rsidR="00275E75" w:rsidRPr="008915CA" w:rsidRDefault="00275E75" w:rsidP="002C48A4">
                            <w:pPr>
                              <w:pStyle w:val="frontpageSubheading"/>
                              <w:rPr>
                                <w:sz w:val="22"/>
                                <w:szCs w:val="22"/>
                              </w:rPr>
                            </w:pPr>
                            <w:r w:rsidRPr="008915CA">
                              <w:rPr>
                                <w:sz w:val="22"/>
                                <w:szCs w:val="22"/>
                              </w:rPr>
                              <w:t>Submission date</w:t>
                            </w:r>
                          </w:p>
                          <w:p w14:paraId="5B1984D5" w14:textId="77777777" w:rsidR="00275E75" w:rsidRPr="008915CA" w:rsidRDefault="00275E75" w:rsidP="002C48A4">
                            <w:pPr>
                              <w:rPr>
                                <w:sz w:val="22"/>
                                <w:szCs w:val="22"/>
                              </w:rPr>
                            </w:pPr>
                            <w:r>
                              <w:rPr>
                                <w:sz w:val="22"/>
                                <w:szCs w:val="22"/>
                              </w:rPr>
                              <w:t xml:space="preserve"> 01-03-2018</w:t>
                            </w:r>
                          </w:p>
                          <w:p w14:paraId="7D09C01C" w14:textId="77777777" w:rsidR="00275E75" w:rsidRPr="008915CA" w:rsidRDefault="00275E75" w:rsidP="002C48A4">
                            <w:pPr>
                              <w:pStyle w:val="frontpageSubheading"/>
                              <w:rPr>
                                <w:color w:val="001C1C"/>
                                <w:sz w:val="22"/>
                                <w:szCs w:val="22"/>
                              </w:rPr>
                            </w:pPr>
                          </w:p>
                          <w:p w14:paraId="7A1BDF1D" w14:textId="77777777" w:rsidR="00275E75" w:rsidRPr="008915CA" w:rsidRDefault="00275E75" w:rsidP="002C48A4">
                            <w:pPr>
                              <w:pStyle w:val="frontpageSubheading"/>
                              <w:rPr>
                                <w:sz w:val="22"/>
                                <w:szCs w:val="22"/>
                              </w:rPr>
                            </w:pPr>
                            <w:r w:rsidRPr="008915CA">
                              <w:rPr>
                                <w:sz w:val="22"/>
                                <w:szCs w:val="22"/>
                              </w:rPr>
                              <w:t>WorkPackage</w:t>
                            </w:r>
                          </w:p>
                          <w:p w14:paraId="1A4B5FF0" w14:textId="77777777" w:rsidR="00275E75" w:rsidRPr="008915CA" w:rsidRDefault="00275E75" w:rsidP="008F4777">
                            <w:pPr>
                              <w:pStyle w:val="Vrijevorm"/>
                              <w:spacing w:line="280" w:lineRule="atLeast"/>
                              <w:rPr>
                                <w:rFonts w:ascii="Calibri" w:hAnsi="Calibri"/>
                                <w:color w:val="001C1C"/>
                                <w:sz w:val="22"/>
                                <w:szCs w:val="22"/>
                                <w:lang w:val="en-US"/>
                              </w:rPr>
                            </w:pPr>
                            <w:r>
                              <w:rPr>
                                <w:rFonts w:ascii="Calibri" w:hAnsi="Calibri"/>
                                <w:color w:val="001C1C"/>
                                <w:sz w:val="22"/>
                                <w:szCs w:val="22"/>
                                <w:lang w:val="en-US"/>
                              </w:rPr>
                              <w:t>5</w:t>
                            </w:r>
                          </w:p>
                          <w:p w14:paraId="58AC2C2A" w14:textId="77777777" w:rsidR="00275E75" w:rsidRPr="008915CA" w:rsidRDefault="00275E75" w:rsidP="002C48A4">
                            <w:pPr>
                              <w:pStyle w:val="frontpageSubheading"/>
                              <w:rPr>
                                <w:color w:val="001C1C"/>
                                <w:sz w:val="22"/>
                                <w:szCs w:val="22"/>
                              </w:rPr>
                            </w:pPr>
                          </w:p>
                          <w:p w14:paraId="60272704" w14:textId="77777777" w:rsidR="00275E75" w:rsidRPr="008915CA" w:rsidRDefault="00275E75" w:rsidP="002C48A4">
                            <w:pPr>
                              <w:pStyle w:val="frontpageSubheading"/>
                              <w:rPr>
                                <w:sz w:val="22"/>
                                <w:szCs w:val="22"/>
                              </w:rPr>
                            </w:pPr>
                            <w:r w:rsidRPr="008915CA">
                              <w:rPr>
                                <w:sz w:val="22"/>
                                <w:szCs w:val="22"/>
                              </w:rPr>
                              <w:t>Lead Beneficiary</w:t>
                            </w:r>
                          </w:p>
                          <w:p w14:paraId="5910A389" w14:textId="77777777" w:rsidR="00275E75" w:rsidRPr="008915CA" w:rsidRDefault="00275E75" w:rsidP="008F4777">
                            <w:pPr>
                              <w:pStyle w:val="Vrijevorm"/>
                              <w:spacing w:line="280" w:lineRule="atLeast"/>
                              <w:rPr>
                                <w:rFonts w:ascii="Calibri" w:hAnsi="Calibri"/>
                                <w:color w:val="001C1C"/>
                                <w:sz w:val="22"/>
                                <w:szCs w:val="22"/>
                                <w:lang w:val="en-US"/>
                              </w:rPr>
                            </w:pPr>
                            <w:r>
                              <w:rPr>
                                <w:rFonts w:ascii="Calibri" w:hAnsi="Calibri"/>
                                <w:color w:val="001C1C"/>
                                <w:sz w:val="22"/>
                                <w:szCs w:val="22"/>
                                <w:lang w:val="en-US"/>
                              </w:rPr>
                              <w:t>UU</w:t>
                            </w:r>
                          </w:p>
                          <w:p w14:paraId="6E5EABDD" w14:textId="77777777" w:rsidR="00275E75" w:rsidRDefault="00275E75" w:rsidP="002C48A4">
                            <w:pPr>
                              <w:pStyle w:val="frontpageSubheading"/>
                              <w:rPr>
                                <w:rFonts w:ascii="Times New Roman" w:eastAsia="Times New Roman" w:hAnsi="Times New Roman"/>
                                <w:color w:val="auto"/>
                                <w:sz w:val="20"/>
                                <w:lang w:bidi="x-none"/>
                              </w:rPr>
                            </w:pPr>
                          </w:p>
                          <w:p w14:paraId="40F4291B" w14:textId="77777777" w:rsidR="00275E75" w:rsidRDefault="00275E7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E2F69" id="Rectangle 4" o:spid="_x0000_s1027" style="position:absolute;margin-left:298pt;margin-top:484.05pt;width:205pt;height:274.95pt;z-index:25166950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" filled="f" stroked="f" strokeweight="1pt">
                <v:path arrowok="t"/>
                <v:textbox inset="0,0,0,0">
                  <w:txbxContent>
                    <w:p w14:paraId="14CCA11C" w14:textId="77777777" w:rsidR="00275E75" w:rsidRPr="00C82546" w:rsidRDefault="00275E75" w:rsidP="002C48A4">
                      <w:pPr>
                        <w:pStyle w:val="frontpageSubheading"/>
                        <w:rPr>
                          <w:sz w:val="22"/>
                          <w:szCs w:val="22"/>
                        </w:rPr>
                      </w:pPr>
                      <w:r w:rsidRPr="00C82546">
                        <w:rPr>
                          <w:sz w:val="22"/>
                          <w:szCs w:val="22"/>
                        </w:rPr>
                        <w:t>Document Identifier</w:t>
                      </w:r>
                    </w:p>
                    <w:p w14:paraId="094D70D0" w14:textId="77777777" w:rsidR="00275E75" w:rsidRDefault="00275E75" w:rsidP="00726E9C">
                      <w:pPr>
                        <w:pStyle w:val="Vrijevorm"/>
                        <w:spacing w:line="280" w:lineRule="atLeast"/>
                        <w:rPr>
                          <w:rFonts w:asciiTheme="minorHAnsi" w:hAnsiTheme="minorHAnsi"/>
                          <w:color w:val="001C1C"/>
                          <w:sz w:val="20"/>
                          <w:szCs w:val="22"/>
                          <w:lang w:val="en-US"/>
                        </w:rPr>
                      </w:pPr>
                      <w:r>
                        <w:rPr>
                          <w:rFonts w:ascii="Calibri" w:hAnsi="Calibri"/>
                          <w:color w:val="001C1C"/>
                          <w:sz w:val="20"/>
                          <w:szCs w:val="22"/>
                          <w:lang w:val="en-US"/>
                        </w:rPr>
                        <w:t>Annex to D5.12 An institutional reform strategy for Germany, for Italy, and for the UK</w:t>
                      </w:r>
                    </w:p>
                    <w:p w14:paraId="7AED9388" w14:textId="77777777" w:rsidR="00275E75" w:rsidRPr="00C82546" w:rsidRDefault="00275E75" w:rsidP="002C48A4">
                      <w:pPr>
                        <w:pStyle w:val="frontpageSubheading"/>
                        <w:rPr>
                          <w:rFonts w:asciiTheme="minorHAnsi" w:hAnsiTheme="minorHAnsi"/>
                          <w:sz w:val="22"/>
                          <w:szCs w:val="22"/>
                        </w:rPr>
                      </w:pPr>
                    </w:p>
                    <w:p w14:paraId="0741BC8D" w14:textId="77777777" w:rsidR="00275E75" w:rsidRPr="008915CA" w:rsidRDefault="00275E75" w:rsidP="002C48A4">
                      <w:pPr>
                        <w:pStyle w:val="frontpageSubheading"/>
                        <w:rPr>
                          <w:sz w:val="22"/>
                          <w:szCs w:val="22"/>
                        </w:rPr>
                      </w:pPr>
                      <w:r w:rsidRPr="008915CA">
                        <w:rPr>
                          <w:sz w:val="22"/>
                          <w:szCs w:val="22"/>
                        </w:rPr>
                        <w:t>Version</w:t>
                      </w:r>
                    </w:p>
                    <w:p w14:paraId="7FEB0F50" w14:textId="77777777" w:rsidR="00275E75" w:rsidRPr="008915CA" w:rsidRDefault="00275E75" w:rsidP="002C48A4">
                      <w:pPr>
                        <w:rPr>
                          <w:sz w:val="22"/>
                          <w:szCs w:val="22"/>
                        </w:rPr>
                      </w:pPr>
                      <w:r w:rsidRPr="008915CA">
                        <w:rPr>
                          <w:sz w:val="22"/>
                          <w:szCs w:val="22"/>
                        </w:rPr>
                        <w:t>1.0</w:t>
                      </w:r>
                    </w:p>
                    <w:p w14:paraId="77B762B3" w14:textId="77777777" w:rsidR="00275E75" w:rsidRPr="008915CA" w:rsidRDefault="00275E75" w:rsidP="002C48A4">
                      <w:pPr>
                        <w:pStyle w:val="frontpageSubheading"/>
                        <w:rPr>
                          <w:sz w:val="22"/>
                          <w:szCs w:val="22"/>
                        </w:rPr>
                      </w:pPr>
                    </w:p>
                    <w:p w14:paraId="515269EF" w14:textId="77777777" w:rsidR="00275E75" w:rsidRPr="008915CA" w:rsidRDefault="00275E75" w:rsidP="002C48A4">
                      <w:pPr>
                        <w:pStyle w:val="frontpageSubheading"/>
                        <w:rPr>
                          <w:sz w:val="22"/>
                          <w:szCs w:val="22"/>
                        </w:rPr>
                      </w:pPr>
                      <w:r w:rsidRPr="008915CA">
                        <w:rPr>
                          <w:sz w:val="22"/>
                          <w:szCs w:val="22"/>
                        </w:rPr>
                        <w:t>Date Due</w:t>
                      </w:r>
                    </w:p>
                    <w:p w14:paraId="61B6C7DE" w14:textId="77777777" w:rsidR="00275E75" w:rsidRPr="008915CA" w:rsidRDefault="00275E75" w:rsidP="002C48A4">
                      <w:pPr>
                        <w:rPr>
                          <w:sz w:val="22"/>
                          <w:szCs w:val="22"/>
                        </w:rPr>
                      </w:pPr>
                      <w:r>
                        <w:rPr>
                          <w:sz w:val="22"/>
                          <w:szCs w:val="22"/>
                        </w:rPr>
                        <w:t xml:space="preserve"> M36</w:t>
                      </w:r>
                    </w:p>
                    <w:p w14:paraId="3C1E8BE1" w14:textId="77777777" w:rsidR="00275E75" w:rsidRPr="008915CA" w:rsidRDefault="00275E75" w:rsidP="002C48A4">
                      <w:pPr>
                        <w:pStyle w:val="frontpageSubheading"/>
                        <w:rPr>
                          <w:color w:val="001C1C"/>
                          <w:sz w:val="22"/>
                          <w:szCs w:val="22"/>
                        </w:rPr>
                      </w:pPr>
                    </w:p>
                    <w:p w14:paraId="7AE916B8" w14:textId="77777777" w:rsidR="00275E75" w:rsidRPr="008915CA" w:rsidRDefault="00275E75" w:rsidP="002C48A4">
                      <w:pPr>
                        <w:pStyle w:val="frontpageSubheading"/>
                        <w:rPr>
                          <w:sz w:val="22"/>
                          <w:szCs w:val="22"/>
                        </w:rPr>
                      </w:pPr>
                      <w:r w:rsidRPr="008915CA">
                        <w:rPr>
                          <w:sz w:val="22"/>
                          <w:szCs w:val="22"/>
                        </w:rPr>
                        <w:t>Submission date</w:t>
                      </w:r>
                    </w:p>
                    <w:p w14:paraId="5B1984D5" w14:textId="77777777" w:rsidR="00275E75" w:rsidRPr="008915CA" w:rsidRDefault="00275E75" w:rsidP="002C48A4">
                      <w:pPr>
                        <w:rPr>
                          <w:sz w:val="22"/>
                          <w:szCs w:val="22"/>
                        </w:rPr>
                      </w:pPr>
                      <w:r>
                        <w:rPr>
                          <w:sz w:val="22"/>
                          <w:szCs w:val="22"/>
                        </w:rPr>
                        <w:t xml:space="preserve"> 01-03-2018</w:t>
                      </w:r>
                    </w:p>
                    <w:p w14:paraId="7D09C01C" w14:textId="77777777" w:rsidR="00275E75" w:rsidRPr="008915CA" w:rsidRDefault="00275E75" w:rsidP="002C48A4">
                      <w:pPr>
                        <w:pStyle w:val="frontpageSubheading"/>
                        <w:rPr>
                          <w:color w:val="001C1C"/>
                          <w:sz w:val="22"/>
                          <w:szCs w:val="22"/>
                        </w:rPr>
                      </w:pPr>
                    </w:p>
                    <w:p w14:paraId="7A1BDF1D" w14:textId="77777777" w:rsidR="00275E75" w:rsidRPr="008915CA" w:rsidRDefault="00275E75" w:rsidP="002C48A4">
                      <w:pPr>
                        <w:pStyle w:val="frontpageSubheading"/>
                        <w:rPr>
                          <w:sz w:val="22"/>
                          <w:szCs w:val="22"/>
                        </w:rPr>
                      </w:pPr>
                      <w:r w:rsidRPr="008915CA">
                        <w:rPr>
                          <w:sz w:val="22"/>
                          <w:szCs w:val="22"/>
                        </w:rPr>
                        <w:t>WorkPackage</w:t>
                      </w:r>
                    </w:p>
                    <w:p w14:paraId="1A4B5FF0" w14:textId="77777777" w:rsidR="00275E75" w:rsidRPr="008915CA" w:rsidRDefault="00275E75" w:rsidP="008F4777">
                      <w:pPr>
                        <w:pStyle w:val="Vrijevorm"/>
                        <w:spacing w:line="280" w:lineRule="atLeast"/>
                        <w:rPr>
                          <w:rFonts w:ascii="Calibri" w:hAnsi="Calibri"/>
                          <w:color w:val="001C1C"/>
                          <w:sz w:val="22"/>
                          <w:szCs w:val="22"/>
                          <w:lang w:val="en-US"/>
                        </w:rPr>
                      </w:pPr>
                      <w:r>
                        <w:rPr>
                          <w:rFonts w:ascii="Calibri" w:hAnsi="Calibri"/>
                          <w:color w:val="001C1C"/>
                          <w:sz w:val="22"/>
                          <w:szCs w:val="22"/>
                          <w:lang w:val="en-US"/>
                        </w:rPr>
                        <w:t>5</w:t>
                      </w:r>
                    </w:p>
                    <w:p w14:paraId="58AC2C2A" w14:textId="77777777" w:rsidR="00275E75" w:rsidRPr="008915CA" w:rsidRDefault="00275E75" w:rsidP="002C48A4">
                      <w:pPr>
                        <w:pStyle w:val="frontpageSubheading"/>
                        <w:rPr>
                          <w:color w:val="001C1C"/>
                          <w:sz w:val="22"/>
                          <w:szCs w:val="22"/>
                        </w:rPr>
                      </w:pPr>
                    </w:p>
                    <w:p w14:paraId="60272704" w14:textId="77777777" w:rsidR="00275E75" w:rsidRPr="008915CA" w:rsidRDefault="00275E75" w:rsidP="002C48A4">
                      <w:pPr>
                        <w:pStyle w:val="frontpageSubheading"/>
                        <w:rPr>
                          <w:sz w:val="22"/>
                          <w:szCs w:val="22"/>
                        </w:rPr>
                      </w:pPr>
                      <w:r w:rsidRPr="008915CA">
                        <w:rPr>
                          <w:sz w:val="22"/>
                          <w:szCs w:val="22"/>
                        </w:rPr>
                        <w:t>Lead Beneficiary</w:t>
                      </w:r>
                    </w:p>
                    <w:p w14:paraId="5910A389" w14:textId="77777777" w:rsidR="00275E75" w:rsidRPr="008915CA" w:rsidRDefault="00275E75" w:rsidP="008F4777">
                      <w:pPr>
                        <w:pStyle w:val="Vrijevorm"/>
                        <w:spacing w:line="280" w:lineRule="atLeast"/>
                        <w:rPr>
                          <w:rFonts w:ascii="Calibri" w:hAnsi="Calibri"/>
                          <w:color w:val="001C1C"/>
                          <w:sz w:val="22"/>
                          <w:szCs w:val="22"/>
                          <w:lang w:val="en-US"/>
                        </w:rPr>
                      </w:pPr>
                      <w:r>
                        <w:rPr>
                          <w:rFonts w:ascii="Calibri" w:hAnsi="Calibri"/>
                          <w:color w:val="001C1C"/>
                          <w:sz w:val="22"/>
                          <w:szCs w:val="22"/>
                          <w:lang w:val="en-US"/>
                        </w:rPr>
                        <w:t>UU</w:t>
                      </w:r>
                    </w:p>
                    <w:p w14:paraId="6E5EABDD" w14:textId="77777777" w:rsidR="00275E75" w:rsidRDefault="00275E75" w:rsidP="002C48A4">
                      <w:pPr>
                        <w:pStyle w:val="frontpageSubheading"/>
                        <w:rPr>
                          <w:rFonts w:ascii="Times New Roman" w:eastAsia="Times New Roman" w:hAnsi="Times New Roman"/>
                          <w:color w:val="auto"/>
                          <w:sz w:val="20"/>
                          <w:lang w:bidi="x-none"/>
                        </w:rPr>
                      </w:pPr>
                    </w:p>
                    <w:p w14:paraId="40F4291B" w14:textId="77777777" w:rsidR="00275E75" w:rsidRDefault="00275E75"/>
                  </w:txbxContent>
                </v:textbox>
                <w10:wrap type="square" anchorx="page" anchory="page"/>
              </v:rect>
            </w:pict>
          </mc:Fallback>
        </mc:AlternateContent>
      </w:r>
      <w:bookmarkEnd w:id="2"/>
    </w:p>
    <w:p w14:paraId="413B4E02" w14:textId="77777777" w:rsidR="00900DA5" w:rsidRPr="00A93DDA" w:rsidRDefault="00900DA5" w:rsidP="001E6982">
      <w:pPr>
        <w:pStyle w:val="Heading1"/>
      </w:pPr>
    </w:p>
    <w:p w14:paraId="1B2C7EE4" w14:textId="77777777" w:rsidR="00900DA5" w:rsidRPr="00A93DDA" w:rsidRDefault="00900DA5" w:rsidP="001E6982">
      <w:pPr>
        <w:pStyle w:val="Heading1"/>
      </w:pPr>
    </w:p>
    <w:p w14:paraId="150CB457" w14:textId="77777777" w:rsidR="00900DA5" w:rsidRPr="00A93DDA" w:rsidRDefault="00900DA5" w:rsidP="001E6982">
      <w:pPr>
        <w:pStyle w:val="Heading1"/>
      </w:pPr>
    </w:p>
    <w:p w14:paraId="236F3A56" w14:textId="77777777" w:rsidR="00900DA5" w:rsidRPr="00A93DDA" w:rsidRDefault="00900DA5" w:rsidP="001E6982">
      <w:pPr>
        <w:pStyle w:val="Heading1"/>
      </w:pPr>
    </w:p>
    <w:p w14:paraId="7D1DA8B7" w14:textId="77777777" w:rsidR="00900DA5" w:rsidRPr="00A93DDA" w:rsidRDefault="00900DA5" w:rsidP="001E6982">
      <w:pPr>
        <w:pStyle w:val="Heading1"/>
      </w:pPr>
    </w:p>
    <w:p w14:paraId="75DE6C83" w14:textId="77777777" w:rsidR="00900DA5" w:rsidRPr="00A93DDA" w:rsidRDefault="00900DA5" w:rsidP="001E6982">
      <w:pPr>
        <w:pStyle w:val="Heading1"/>
      </w:pPr>
    </w:p>
    <w:p w14:paraId="70F5DD7D" w14:textId="77777777" w:rsidR="00900DA5" w:rsidRPr="00A93DDA" w:rsidRDefault="00900DA5" w:rsidP="001E6982">
      <w:pPr>
        <w:pStyle w:val="Heading1"/>
      </w:pPr>
    </w:p>
    <w:p w14:paraId="233F0703" w14:textId="77777777" w:rsidR="00900DA5" w:rsidRPr="00A93DDA" w:rsidRDefault="00900DA5" w:rsidP="001E6982">
      <w:pPr>
        <w:pStyle w:val="Heading1"/>
      </w:pPr>
    </w:p>
    <w:p w14:paraId="43FCC8A5" w14:textId="77777777" w:rsidR="00900DA5" w:rsidRPr="00A93DDA" w:rsidRDefault="00900DA5" w:rsidP="001E6982">
      <w:pPr>
        <w:pStyle w:val="Heading1"/>
      </w:pPr>
    </w:p>
    <w:p w14:paraId="53AA3184" w14:textId="77777777" w:rsidR="00517978" w:rsidRPr="00A93DDA" w:rsidRDefault="006E1760" w:rsidP="00517978">
      <w:pPr>
        <w:spacing w:line="240" w:lineRule="auto"/>
        <w:sectPr w:rsidR="00517978" w:rsidRPr="00A93DDA" w:rsidSect="00CF1E7E">
          <w:headerReference w:type="default" r:id="rId9"/>
          <w:footerReference w:type="even" r:id="rId10"/>
          <w:footerReference w:type="default" r:id="rId11"/>
          <w:headerReference w:type="first" r:id="rId12"/>
          <w:footerReference w:type="first" r:id="rId13"/>
          <w:pgSz w:w="11900" w:h="16840"/>
          <w:pgMar w:top="1680" w:right="1417" w:bottom="1417" w:left="1417" w:header="426" w:footer="596" w:gutter="0"/>
          <w:cols w:num="2" w:space="708"/>
          <w:titlePg/>
          <w:docGrid w:linePitch="360"/>
        </w:sectPr>
      </w:pPr>
      <w:r w:rsidRPr="00A93DDA">
        <w:br w:type="page"/>
      </w:r>
    </w:p>
    <w:p w14:paraId="433A6B0C" w14:textId="77777777" w:rsidR="00250E6C" w:rsidRPr="00A93DDA" w:rsidRDefault="00250E6C" w:rsidP="00517978">
      <w:pPr>
        <w:spacing w:line="240" w:lineRule="auto"/>
        <w:sectPr w:rsidR="00250E6C" w:rsidRPr="00A93DDA" w:rsidSect="00CF1E7E">
          <w:headerReference w:type="first" r:id="rId14"/>
          <w:footerReference w:type="first" r:id="rId15"/>
          <w:pgSz w:w="11900" w:h="16840"/>
          <w:pgMar w:top="1680" w:right="1417" w:bottom="1417" w:left="1417" w:header="426" w:footer="596" w:gutter="0"/>
          <w:cols w:num="2" w:space="708"/>
          <w:titlePg/>
          <w:docGrid w:linePitch="360"/>
        </w:sectPr>
      </w:pPr>
    </w:p>
    <w:p w14:paraId="332979E3" w14:textId="77777777" w:rsidR="00890E41" w:rsidRPr="00A93DDA" w:rsidRDefault="00890E41" w:rsidP="006F1B5F">
      <w:pPr>
        <w:pStyle w:val="Heading1"/>
        <w:spacing w:before="0"/>
        <w:rPr>
          <w:b w:val="0"/>
          <w:color w:val="000099"/>
          <w:sz w:val="24"/>
        </w:rPr>
      </w:pPr>
      <w:r w:rsidRPr="00A93DDA">
        <w:rPr>
          <w:b w:val="0"/>
          <w:color w:val="000099"/>
          <w:sz w:val="24"/>
        </w:rPr>
        <w:t>Financial and Institutional Reforms for Entrepreneurial Society (FIRES)</w:t>
      </w:r>
    </w:p>
    <w:p w14:paraId="5935BABA" w14:textId="77777777" w:rsidR="00890E41" w:rsidRPr="00A93DDA" w:rsidRDefault="00890E41" w:rsidP="00890E41"/>
    <w:p w14:paraId="7D49536C" w14:textId="3B5616D1" w:rsidR="00890E41" w:rsidRPr="00A93DDA" w:rsidRDefault="005A254B" w:rsidP="00A4407E">
      <w:pPr>
        <w:pStyle w:val="Heading1"/>
        <w:spacing w:line="240" w:lineRule="auto"/>
        <w:rPr>
          <w:color w:val="000099"/>
          <w:sz w:val="70"/>
          <w:szCs w:val="70"/>
        </w:rPr>
      </w:pPr>
      <w:r>
        <w:rPr>
          <w:color w:val="000099"/>
          <w:sz w:val="70"/>
          <w:szCs w:val="70"/>
        </w:rPr>
        <w:t>Policy Brief on FIRES-Reform S</w:t>
      </w:r>
      <w:r w:rsidR="00A4407E" w:rsidRPr="00A93DDA">
        <w:rPr>
          <w:color w:val="000099"/>
          <w:sz w:val="70"/>
          <w:szCs w:val="70"/>
        </w:rPr>
        <w:t>trategy for Italy</w:t>
      </w:r>
    </w:p>
    <w:p w14:paraId="01125EFC" w14:textId="2A6213C8" w:rsidR="00890E41" w:rsidRPr="005A254B" w:rsidRDefault="00890E41" w:rsidP="005A254B">
      <w:pPr>
        <w:rPr>
          <w:sz w:val="22"/>
          <w:szCs w:val="22"/>
        </w:rPr>
      </w:pPr>
      <w:r w:rsidRPr="00A93DDA">
        <w:rPr>
          <w:color w:val="000099"/>
          <w:sz w:val="24"/>
        </w:rPr>
        <w:t xml:space="preserve">Authors: </w:t>
      </w:r>
      <w:r w:rsidR="005A254B" w:rsidRPr="005A254B">
        <w:rPr>
          <w:rFonts w:asciiTheme="minorHAnsi" w:eastAsia="Times New Roman" w:hAnsiTheme="minorHAnsi" w:cstheme="minorHAnsi"/>
          <w:i/>
          <w:color w:val="002087" w:themeColor="text2"/>
          <w:sz w:val="24"/>
          <w:szCs w:val="24"/>
        </w:rPr>
        <w:t>Mark Sanders, Luca Grilli, Andrea Herrmann, Gresa Latifi, Balazs Pager</w:t>
      </w:r>
      <w:r w:rsidR="000B44C4">
        <w:rPr>
          <w:rFonts w:asciiTheme="minorHAnsi" w:eastAsia="Times New Roman" w:hAnsiTheme="minorHAnsi" w:cstheme="minorHAnsi"/>
          <w:i/>
          <w:color w:val="002087" w:themeColor="text2"/>
          <w:sz w:val="24"/>
          <w:szCs w:val="24"/>
        </w:rPr>
        <w:t>, Laszlo Szerb</w:t>
      </w:r>
      <w:r w:rsidR="005A254B" w:rsidRPr="005A254B">
        <w:rPr>
          <w:rFonts w:asciiTheme="minorHAnsi" w:eastAsia="Times New Roman" w:hAnsiTheme="minorHAnsi" w:cstheme="minorHAnsi"/>
          <w:i/>
          <w:color w:val="002087" w:themeColor="text2"/>
          <w:sz w:val="24"/>
          <w:szCs w:val="24"/>
        </w:rPr>
        <w:t xml:space="preserve"> and Elisa Terragno Bogliaccini</w:t>
      </w:r>
      <w:r w:rsidR="005A254B" w:rsidRPr="005A254B">
        <w:rPr>
          <w:rFonts w:ascii="Helvetica" w:eastAsia="Times New Roman" w:hAnsi="Helvetica"/>
          <w:color w:val="002087" w:themeColor="text2"/>
          <w:sz w:val="18"/>
          <w:szCs w:val="18"/>
        </w:rPr>
        <w:t xml:space="preserve"> </w:t>
      </w:r>
    </w:p>
    <w:p w14:paraId="38D289B1" w14:textId="75FB4B20" w:rsidR="00890E41" w:rsidRPr="00A93DDA" w:rsidRDefault="00220BFC" w:rsidP="00CC3CE3">
      <w:pPr>
        <w:pStyle w:val="Heading1"/>
        <w:rPr>
          <w:b w:val="0"/>
          <w:color w:val="000099"/>
          <w:sz w:val="24"/>
        </w:rPr>
      </w:pPr>
      <w:r w:rsidRPr="00A93DDA">
        <w:rPr>
          <w:noProof/>
          <w:color w:val="FFFFFF" w:themeColor="background1"/>
          <w:lang w:val="en-US" w:eastAsia="en-US"/>
        </w:rPr>
        <w:drawing>
          <wp:anchor distT="0" distB="0" distL="114300" distR="114300" simplePos="0" relativeHeight="251654656" behindDoc="1" locked="0" layoutInCell="1" allowOverlap="1" wp14:anchorId="740959E9" wp14:editId="25CB32E3">
            <wp:simplePos x="0" y="0"/>
            <wp:positionH relativeFrom="column">
              <wp:posOffset>-615300</wp:posOffset>
            </wp:positionH>
            <wp:positionV relativeFrom="paragraph">
              <wp:posOffset>226842</wp:posOffset>
            </wp:positionV>
            <wp:extent cx="6967855" cy="1204595"/>
            <wp:effectExtent l="0" t="0" r="4445" b="0"/>
            <wp:wrapNone/>
            <wp:docPr id="6" name="Picture 6" descr="\\soliscom.uu.nl\uu\Users\Chylk001\My Documents\Desktop\elements flyer\achtergrond_slider11-1024x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iscom.uu.nl\uu\Users\Chylk001\My Documents\Desktop\elements flyer\achtergrond_slider11-1024x17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67855" cy="1204595"/>
                    </a:xfrm>
                    <a:prstGeom prst="rect">
                      <a:avLst/>
                    </a:prstGeom>
                    <a:noFill/>
                    <a:ln>
                      <a:noFill/>
                    </a:ln>
                  </pic:spPr>
                </pic:pic>
              </a:graphicData>
            </a:graphic>
            <wp14:sizeRelH relativeFrom="page">
              <wp14:pctWidth>0</wp14:pctWidth>
            </wp14:sizeRelH>
            <wp14:sizeRelV relativeFrom="page">
              <wp14:pctHeight>0</wp14:pctHeight>
            </wp14:sizeRelV>
          </wp:anchor>
        </w:drawing>
      </w:r>
      <w:r w:rsidR="00612621">
        <w:rPr>
          <w:b w:val="0"/>
          <w:color w:val="000099"/>
          <w:sz w:val="24"/>
        </w:rPr>
        <w:t>No. 2018-02</w:t>
      </w:r>
      <w:r w:rsidR="00890E41" w:rsidRPr="00A93DDA">
        <w:rPr>
          <w:b w:val="0"/>
          <w:color w:val="000099"/>
          <w:sz w:val="24"/>
        </w:rPr>
        <w:t>/</w:t>
      </w:r>
      <w:r w:rsidR="00A4407E" w:rsidRPr="00A93DDA">
        <w:rPr>
          <w:b w:val="0"/>
          <w:color w:val="000099"/>
          <w:sz w:val="24"/>
        </w:rPr>
        <w:t>March 2018</w:t>
      </w:r>
    </w:p>
    <w:p w14:paraId="7FF92237" w14:textId="77777777" w:rsidR="00CC3CE3" w:rsidRPr="00A93DDA" w:rsidRDefault="00CC3CE3" w:rsidP="00CC3CE3"/>
    <w:p w14:paraId="13A29843" w14:textId="77777777" w:rsidR="00CC3CE3" w:rsidRPr="00A93DDA" w:rsidRDefault="00CC3CE3" w:rsidP="00CC3CE3"/>
    <w:tbl>
      <w:tblPr>
        <w:tblStyle w:val="TableGrid"/>
        <w:tblW w:w="4047" w:type="pct"/>
        <w:jc w:val="center"/>
        <w:tblBorders>
          <w:insideH w:val="none" w:sz="0" w:space="0" w:color="auto"/>
          <w:insideV w:val="none" w:sz="0" w:space="0" w:color="auto"/>
        </w:tblBorders>
        <w:shd w:val="clear" w:color="auto" w:fill="333333"/>
        <w:tblLook w:val="04A0" w:firstRow="1" w:lastRow="0" w:firstColumn="1" w:lastColumn="0" w:noHBand="0" w:noVBand="1"/>
      </w:tblPr>
      <w:tblGrid>
        <w:gridCol w:w="7338"/>
      </w:tblGrid>
      <w:tr w:rsidR="00250E6C" w:rsidRPr="00A93DDA" w14:paraId="19FD9F6D" w14:textId="77777777" w:rsidTr="005C1324">
        <w:trPr>
          <w:trHeight w:val="2974"/>
          <w:jc w:val="center"/>
        </w:trPr>
        <w:tc>
          <w:tcPr>
            <w:tcW w:w="5000" w:type="pct"/>
            <w:tcBorders>
              <w:top w:val="nil"/>
              <w:left w:val="nil"/>
              <w:bottom w:val="nil"/>
              <w:right w:val="nil"/>
            </w:tcBorders>
            <w:shd w:val="clear" w:color="auto" w:fill="333333"/>
          </w:tcPr>
          <w:p w14:paraId="5FB7F49D" w14:textId="77777777" w:rsidR="00250E6C" w:rsidRPr="00A93DDA" w:rsidRDefault="00C931CD" w:rsidP="000056BA">
            <w:pPr>
              <w:spacing w:before="120"/>
              <w:jc w:val="both"/>
              <w:rPr>
                <w:b/>
                <w:color w:val="FFFFFF" w:themeColor="background1"/>
                <w:sz w:val="32"/>
              </w:rPr>
            </w:pPr>
            <w:r w:rsidRPr="00A93DDA">
              <w:rPr>
                <w:b/>
                <w:color w:val="FFFFFF" w:themeColor="background1"/>
                <w:sz w:val="32"/>
              </w:rPr>
              <w:t>Abstract</w:t>
            </w:r>
          </w:p>
          <w:p w14:paraId="2F3026AB" w14:textId="77777777" w:rsidR="00250E6C" w:rsidRPr="00A93DDA" w:rsidRDefault="00250E6C" w:rsidP="00C82546">
            <w:pPr>
              <w:jc w:val="both"/>
              <w:rPr>
                <w:color w:val="FFFFFF" w:themeColor="background1"/>
              </w:rPr>
            </w:pPr>
          </w:p>
          <w:p w14:paraId="65483CB8" w14:textId="77777777" w:rsidR="00250E6C" w:rsidRPr="00A93DDA" w:rsidRDefault="00A4407E" w:rsidP="000152AA">
            <w:pPr>
              <w:autoSpaceDE w:val="0"/>
              <w:autoSpaceDN w:val="0"/>
              <w:adjustRightInd w:val="0"/>
              <w:spacing w:line="240" w:lineRule="auto"/>
              <w:jc w:val="both"/>
              <w:rPr>
                <w:color w:val="FFFFFF" w:themeColor="background1"/>
              </w:rPr>
            </w:pPr>
            <w:r w:rsidRPr="00A93DDA">
              <w:rPr>
                <w:rFonts w:cs="Calibri"/>
                <w:color w:val="FFFFFF" w:themeColor="background1"/>
                <w:sz w:val="22"/>
                <w:szCs w:val="22"/>
              </w:rPr>
              <w:t xml:space="preserve">In this policy brief we outline </w:t>
            </w:r>
            <w:r w:rsidR="00496821" w:rsidRPr="00A93DDA">
              <w:rPr>
                <w:rFonts w:cs="Calibri"/>
                <w:color w:val="FFFFFF" w:themeColor="background1"/>
                <w:sz w:val="22"/>
                <w:szCs w:val="22"/>
              </w:rPr>
              <w:t>a draft</w:t>
            </w:r>
            <w:r w:rsidRPr="00A93DDA">
              <w:rPr>
                <w:rFonts w:cs="Calibri"/>
                <w:color w:val="FFFFFF" w:themeColor="background1"/>
                <w:sz w:val="22"/>
                <w:szCs w:val="22"/>
              </w:rPr>
              <w:t xml:space="preserve"> FIRES-reform strategy </w:t>
            </w:r>
            <w:r w:rsidR="00496821" w:rsidRPr="00A93DDA">
              <w:rPr>
                <w:rFonts w:cs="Calibri"/>
                <w:color w:val="FFFFFF" w:themeColor="background1"/>
                <w:sz w:val="22"/>
                <w:szCs w:val="22"/>
              </w:rPr>
              <w:t>to promote an Entrepreneurial Society in</w:t>
            </w:r>
            <w:r w:rsidRPr="00A93DDA">
              <w:rPr>
                <w:rFonts w:cs="Calibri"/>
                <w:color w:val="FFFFFF" w:themeColor="background1"/>
                <w:sz w:val="22"/>
                <w:szCs w:val="22"/>
              </w:rPr>
              <w:t xml:space="preserve"> Italy. The reforms proposed are derived from a seven-step process in which the academic work and stakeholder engagement activities of the FIRES-project come together</w:t>
            </w:r>
            <w:r w:rsidR="00496821" w:rsidRPr="00A93DDA">
              <w:rPr>
                <w:rFonts w:cs="Calibri"/>
                <w:color w:val="FFFFFF" w:themeColor="background1"/>
                <w:sz w:val="22"/>
                <w:szCs w:val="22"/>
              </w:rPr>
              <w:t>. This seven step process was</w:t>
            </w:r>
            <w:r w:rsidRPr="00A93DDA">
              <w:rPr>
                <w:rFonts w:cs="Calibri"/>
                <w:color w:val="FFFFFF" w:themeColor="background1"/>
                <w:sz w:val="22"/>
                <w:szCs w:val="22"/>
              </w:rPr>
              <w:t xml:space="preserve"> applied to the case of Italy</w:t>
            </w:r>
            <w:r w:rsidR="00496821" w:rsidRPr="00A93DDA">
              <w:rPr>
                <w:rFonts w:cs="Calibri"/>
                <w:color w:val="FFFFFF" w:themeColor="background1"/>
                <w:sz w:val="22"/>
                <w:szCs w:val="22"/>
              </w:rPr>
              <w:t xml:space="preserve"> in a report </w:t>
            </w:r>
            <w:r w:rsidR="00334F1C" w:rsidRPr="00A93DDA">
              <w:rPr>
                <w:rFonts w:cs="Calibri"/>
                <w:color w:val="FFFFFF" w:themeColor="background1"/>
                <w:sz w:val="22"/>
                <w:szCs w:val="22"/>
              </w:rPr>
              <w:t>(</w:t>
            </w:r>
            <w:r w:rsidR="000152AA" w:rsidRPr="00A93DDA">
              <w:rPr>
                <w:rFonts w:cs="Calibri"/>
                <w:color w:val="FFFFFF" w:themeColor="background1"/>
                <w:sz w:val="22"/>
                <w:szCs w:val="22"/>
              </w:rPr>
              <w:t xml:space="preserve">download </w:t>
            </w:r>
            <w:hyperlink r:id="rId17" w:history="1">
              <w:r w:rsidR="000152AA" w:rsidRPr="00A93DDA">
                <w:rPr>
                  <w:rStyle w:val="Hyperlink"/>
                  <w:rFonts w:cs="Calibri"/>
                  <w:sz w:val="22"/>
                  <w:szCs w:val="22"/>
                </w:rPr>
                <w:t>here</w:t>
              </w:r>
            </w:hyperlink>
            <w:r w:rsidR="00334F1C" w:rsidRPr="00A93DDA">
              <w:rPr>
                <w:rFonts w:cs="Calibri"/>
                <w:color w:val="FFFFFF" w:themeColor="background1"/>
                <w:sz w:val="22"/>
                <w:szCs w:val="22"/>
              </w:rPr>
              <w:t xml:space="preserve">) </w:t>
            </w:r>
            <w:r w:rsidR="00496821" w:rsidRPr="00A93DDA">
              <w:rPr>
                <w:rFonts w:cs="Calibri"/>
                <w:color w:val="FFFFFF" w:themeColor="background1"/>
                <w:sz w:val="22"/>
                <w:szCs w:val="22"/>
              </w:rPr>
              <w:t>and this brief summarizes its findings</w:t>
            </w:r>
            <w:r w:rsidRPr="00A93DDA">
              <w:rPr>
                <w:rFonts w:cs="Calibri"/>
                <w:color w:val="FFFFFF" w:themeColor="background1"/>
                <w:sz w:val="22"/>
                <w:szCs w:val="22"/>
              </w:rPr>
              <w:t xml:space="preserve">. Italy was selected to be representative for a Mediterranean and so called mixed market economy. This brief is one of three, where the other briefs address the United Kingdom and Germany. </w:t>
            </w:r>
          </w:p>
          <w:p w14:paraId="1F4E4D71" w14:textId="77777777" w:rsidR="00250E6C" w:rsidRPr="00A93DDA" w:rsidRDefault="00250E6C" w:rsidP="00C931CD">
            <w:pPr>
              <w:jc w:val="both"/>
              <w:rPr>
                <w:color w:val="FFFFFF" w:themeColor="background1"/>
              </w:rPr>
            </w:pPr>
          </w:p>
        </w:tc>
      </w:tr>
    </w:tbl>
    <w:p w14:paraId="31D9D4FE" w14:textId="77777777" w:rsidR="007259C7" w:rsidRPr="00A93DDA" w:rsidRDefault="007259C7" w:rsidP="00CF717A">
      <w:pPr>
        <w:pStyle w:val="Heading2"/>
        <w:spacing w:before="240"/>
        <w:sectPr w:rsidR="007259C7" w:rsidRPr="00A93DDA" w:rsidSect="007259C7">
          <w:type w:val="continuous"/>
          <w:pgSz w:w="11900" w:h="16840"/>
          <w:pgMar w:top="1680" w:right="1417" w:bottom="1417" w:left="1417" w:header="426" w:footer="596" w:gutter="0"/>
          <w:cols w:space="708"/>
          <w:titlePg/>
          <w:docGrid w:linePitch="360"/>
        </w:sectPr>
      </w:pPr>
    </w:p>
    <w:p w14:paraId="0CCCD730" w14:textId="77777777" w:rsidR="00C931CD" w:rsidRPr="00A93DDA" w:rsidRDefault="00C931CD" w:rsidP="00CF717A">
      <w:pPr>
        <w:pStyle w:val="Heading2"/>
        <w:spacing w:before="240"/>
      </w:pPr>
      <w:r w:rsidRPr="00A93DDA">
        <w:t xml:space="preserve">Introduction: </w:t>
      </w:r>
    </w:p>
    <w:p w14:paraId="296807C8" w14:textId="77777777" w:rsidR="00C931CD" w:rsidRPr="00A93DDA" w:rsidRDefault="00A4407E" w:rsidP="00C931CD">
      <w:pPr>
        <w:autoSpaceDE w:val="0"/>
        <w:autoSpaceDN w:val="0"/>
        <w:adjustRightInd w:val="0"/>
        <w:spacing w:line="240" w:lineRule="auto"/>
        <w:jc w:val="both"/>
        <w:rPr>
          <w:rFonts w:cs="Calibri"/>
          <w:color w:val="000000"/>
          <w:sz w:val="22"/>
          <w:szCs w:val="22"/>
        </w:rPr>
      </w:pPr>
      <w:r w:rsidRPr="00A93DDA">
        <w:rPr>
          <w:rFonts w:cs="Calibri"/>
          <w:color w:val="000000"/>
          <w:sz w:val="22"/>
          <w:szCs w:val="22"/>
        </w:rPr>
        <w:t>In this brief we present the FIRES-reform strategy for Italy. In the FIRES-project we developed a seven step approach to tailor a reform strategy to a specific situation (see box 1</w:t>
      </w:r>
      <w:r w:rsidR="000152AA" w:rsidRPr="00A93DDA">
        <w:rPr>
          <w:rFonts w:cs="Calibri"/>
          <w:color w:val="000000"/>
          <w:sz w:val="22"/>
          <w:szCs w:val="22"/>
        </w:rPr>
        <w:t xml:space="preserve"> below</w:t>
      </w:r>
      <w:r w:rsidRPr="00A93DDA">
        <w:rPr>
          <w:rFonts w:cs="Calibri"/>
          <w:color w:val="000000"/>
          <w:sz w:val="22"/>
          <w:szCs w:val="22"/>
        </w:rPr>
        <w:t xml:space="preserve">). </w:t>
      </w:r>
      <w:r w:rsidRPr="00A93DDA">
        <w:rPr>
          <w:sz w:val="22"/>
          <w:szCs w:val="22"/>
        </w:rPr>
        <w:t xml:space="preserve">In this </w:t>
      </w:r>
      <w:r w:rsidR="00496821" w:rsidRPr="00A93DDA">
        <w:rPr>
          <w:sz w:val="22"/>
          <w:szCs w:val="22"/>
        </w:rPr>
        <w:t>brief we present the results of</w:t>
      </w:r>
      <w:r w:rsidRPr="00A93DDA">
        <w:rPr>
          <w:sz w:val="22"/>
          <w:szCs w:val="22"/>
        </w:rPr>
        <w:t xml:space="preserve"> step</w:t>
      </w:r>
      <w:r w:rsidR="000B4D25" w:rsidRPr="00A93DDA">
        <w:rPr>
          <w:sz w:val="22"/>
          <w:szCs w:val="22"/>
        </w:rPr>
        <w:t>s 1 to</w:t>
      </w:r>
      <w:r w:rsidR="004117B7" w:rsidRPr="00A93DDA">
        <w:rPr>
          <w:sz w:val="22"/>
          <w:szCs w:val="22"/>
        </w:rPr>
        <w:t xml:space="preserve"> 5. </w:t>
      </w:r>
      <w:r w:rsidR="00496821" w:rsidRPr="00A93DDA">
        <w:rPr>
          <w:sz w:val="22"/>
          <w:szCs w:val="22"/>
        </w:rPr>
        <w:t>Step 6 will be</w:t>
      </w:r>
      <w:r w:rsidRPr="00A93DDA">
        <w:rPr>
          <w:sz w:val="22"/>
          <w:szCs w:val="22"/>
        </w:rPr>
        <w:t xml:space="preserve"> presented in </w:t>
      </w:r>
      <w:r w:rsidR="00496821" w:rsidRPr="00A93DDA">
        <w:rPr>
          <w:sz w:val="22"/>
          <w:szCs w:val="22"/>
        </w:rPr>
        <w:t xml:space="preserve">a </w:t>
      </w:r>
      <w:r w:rsidRPr="00A93DDA">
        <w:rPr>
          <w:sz w:val="22"/>
          <w:szCs w:val="22"/>
        </w:rPr>
        <w:t>separate</w:t>
      </w:r>
      <w:r w:rsidR="00496821" w:rsidRPr="00A93DDA">
        <w:rPr>
          <w:sz w:val="22"/>
          <w:szCs w:val="22"/>
        </w:rPr>
        <w:t xml:space="preserve"> report</w:t>
      </w:r>
      <w:r w:rsidRPr="00A93DDA">
        <w:rPr>
          <w:sz w:val="22"/>
          <w:szCs w:val="22"/>
        </w:rPr>
        <w:t xml:space="preserve"> on the results of the policy round tables where this draft reform strategy is discussed. </w:t>
      </w:r>
      <w:r w:rsidR="004117B7" w:rsidRPr="00A93DDA">
        <w:rPr>
          <w:sz w:val="22"/>
          <w:szCs w:val="22"/>
        </w:rPr>
        <w:t xml:space="preserve">Our method up to step five can be likened to the way in which a medical doctor would diagnose a patient. He/she would combine detailed knowledge about the patient’s character and most recent medical history, data from diagnostic tools and an in </w:t>
      </w:r>
      <w:r w:rsidR="004117B7" w:rsidRPr="00A93DDA">
        <w:rPr>
          <w:sz w:val="22"/>
          <w:szCs w:val="22"/>
        </w:rPr>
        <w:t xml:space="preserve">depth discussion with the patient about his or her symptoms. After diagnosing the patient, the doctor will then prescribe, from an established arsenal of effective treatments, those he or she feels most fitting for the patient and his or her condition. </w:t>
      </w:r>
      <w:r w:rsidR="00496821" w:rsidRPr="00A93DDA">
        <w:rPr>
          <w:sz w:val="22"/>
          <w:szCs w:val="22"/>
        </w:rPr>
        <w:t xml:space="preserve">In section 1 you will </w:t>
      </w:r>
      <w:r w:rsidR="004117B7" w:rsidRPr="00A93DDA">
        <w:rPr>
          <w:sz w:val="22"/>
          <w:szCs w:val="22"/>
        </w:rPr>
        <w:t xml:space="preserve">thus </w:t>
      </w:r>
      <w:r w:rsidR="00496821" w:rsidRPr="00A93DDA">
        <w:rPr>
          <w:sz w:val="22"/>
          <w:szCs w:val="22"/>
        </w:rPr>
        <w:t xml:space="preserve">find a brief summary of our diagnosis for Italy. </w:t>
      </w:r>
      <w:r w:rsidR="004117B7" w:rsidRPr="00A93DDA">
        <w:rPr>
          <w:sz w:val="22"/>
          <w:szCs w:val="22"/>
        </w:rPr>
        <w:t>This</w:t>
      </w:r>
      <w:r w:rsidR="000B4D25" w:rsidRPr="00A93DDA">
        <w:rPr>
          <w:sz w:val="22"/>
          <w:szCs w:val="22"/>
        </w:rPr>
        <w:t xml:space="preserve"> is based on a triangulation of historical analysis, </w:t>
      </w:r>
      <w:r w:rsidR="004117B7" w:rsidRPr="00A93DDA">
        <w:rPr>
          <w:sz w:val="22"/>
          <w:szCs w:val="22"/>
        </w:rPr>
        <w:t xml:space="preserve">quantitative </w:t>
      </w:r>
      <w:r w:rsidR="000B4D25" w:rsidRPr="00A93DDA">
        <w:rPr>
          <w:sz w:val="22"/>
          <w:szCs w:val="22"/>
        </w:rPr>
        <w:t xml:space="preserve">data analysis and qualitative information from founder surveys, </w:t>
      </w:r>
      <w:r w:rsidR="004117B7" w:rsidRPr="00A93DDA">
        <w:rPr>
          <w:sz w:val="22"/>
          <w:szCs w:val="22"/>
        </w:rPr>
        <w:t xml:space="preserve">desk research </w:t>
      </w:r>
      <w:r w:rsidR="000B4D25" w:rsidRPr="00A93DDA">
        <w:rPr>
          <w:sz w:val="22"/>
          <w:szCs w:val="22"/>
        </w:rPr>
        <w:t xml:space="preserve">and expert opinion. </w:t>
      </w:r>
      <w:r w:rsidR="00496821" w:rsidRPr="00A93DDA">
        <w:rPr>
          <w:sz w:val="22"/>
          <w:szCs w:val="22"/>
        </w:rPr>
        <w:t xml:space="preserve">In section 2 we present </w:t>
      </w:r>
      <w:r w:rsidR="004117B7" w:rsidRPr="00A93DDA">
        <w:rPr>
          <w:sz w:val="22"/>
          <w:szCs w:val="22"/>
        </w:rPr>
        <w:t>our proposed treatment in the form of our</w:t>
      </w:r>
      <w:r w:rsidR="00496821" w:rsidRPr="00A93DDA">
        <w:rPr>
          <w:sz w:val="22"/>
          <w:szCs w:val="22"/>
        </w:rPr>
        <w:t xml:space="preserve"> proposed reforms. Section 3 concludes.</w:t>
      </w:r>
    </w:p>
    <w:p w14:paraId="16FF581A" w14:textId="77777777" w:rsidR="00277FCF" w:rsidRPr="00A93DDA" w:rsidRDefault="00277FCF" w:rsidP="00277FCF">
      <w:pPr>
        <w:autoSpaceDE w:val="0"/>
        <w:autoSpaceDN w:val="0"/>
        <w:adjustRightInd w:val="0"/>
        <w:spacing w:line="240" w:lineRule="auto"/>
        <w:jc w:val="both"/>
        <w:rPr>
          <w:rFonts w:cs="Calibri"/>
          <w:color w:val="000000"/>
          <w:sz w:val="22"/>
          <w:szCs w:val="22"/>
        </w:rPr>
      </w:pPr>
    </w:p>
    <w:p w14:paraId="5CE3AC1E" w14:textId="77777777" w:rsidR="00277FCF" w:rsidRPr="00A93DDA" w:rsidRDefault="00277FCF" w:rsidP="00277FCF">
      <w:pPr>
        <w:pStyle w:val="Caption"/>
        <w:keepNext/>
      </w:pPr>
      <w:r w:rsidRPr="00A93DDA">
        <w:lastRenderedPageBreak/>
        <w:t xml:space="preserve">Box </w:t>
      </w:r>
      <w:r w:rsidRPr="00A93DDA">
        <w:fldChar w:fldCharType="begin"/>
      </w:r>
      <w:r w:rsidRPr="00A93DDA">
        <w:instrText xml:space="preserve"> SEQ Box \* ARABIC </w:instrText>
      </w:r>
      <w:r w:rsidRPr="00A93DDA">
        <w:fldChar w:fldCharType="separate"/>
      </w:r>
      <w:r w:rsidRPr="00A93DDA">
        <w:rPr>
          <w:noProof/>
        </w:rPr>
        <w:t>1</w:t>
      </w:r>
      <w:r w:rsidRPr="00A93DDA">
        <w:fldChar w:fldCharType="end"/>
      </w:r>
      <w:r w:rsidRPr="00A93DDA">
        <w:t>: The FIRES seven step approach</w:t>
      </w:r>
    </w:p>
    <w:tbl>
      <w:tblPr>
        <w:tblStyle w:val="TableGrid"/>
        <w:tblW w:w="0" w:type="auto"/>
        <w:tblBorders>
          <w:insideH w:val="none" w:sz="0" w:space="0" w:color="auto"/>
          <w:insideV w:val="none" w:sz="0" w:space="0" w:color="auto"/>
        </w:tblBorders>
        <w:shd w:val="clear" w:color="auto" w:fill="FF9D09"/>
        <w:tblLook w:val="04A0" w:firstRow="1" w:lastRow="0" w:firstColumn="1" w:lastColumn="0" w:noHBand="0" w:noVBand="1"/>
      </w:tblPr>
      <w:tblGrid>
        <w:gridCol w:w="4169"/>
      </w:tblGrid>
      <w:tr w:rsidR="00277FCF" w:rsidRPr="00A93DDA" w14:paraId="4E78F4DD" w14:textId="77777777" w:rsidTr="00277FCF">
        <w:tc>
          <w:tcPr>
            <w:tcW w:w="4169" w:type="dxa"/>
            <w:shd w:val="clear" w:color="auto" w:fill="FF9D09"/>
          </w:tcPr>
          <w:p w14:paraId="254EF076" w14:textId="77777777" w:rsidR="00277FCF" w:rsidRPr="00A93DDA" w:rsidRDefault="00277FCF" w:rsidP="00277FCF">
            <w:pPr>
              <w:autoSpaceDE w:val="0"/>
              <w:autoSpaceDN w:val="0"/>
              <w:adjustRightInd w:val="0"/>
              <w:spacing w:before="120" w:line="240" w:lineRule="auto"/>
              <w:rPr>
                <w:rFonts w:cs="Calibri-Bold"/>
                <w:b/>
                <w:bCs/>
                <w:color w:val="002060"/>
                <w:sz w:val="28"/>
                <w:szCs w:val="28"/>
              </w:rPr>
            </w:pPr>
            <w:r w:rsidRPr="00A93DDA">
              <w:rPr>
                <w:rFonts w:cs="Calibri-Bold"/>
                <w:b/>
                <w:bCs/>
                <w:color w:val="002060"/>
                <w:sz w:val="28"/>
                <w:szCs w:val="28"/>
              </w:rPr>
              <w:t>The FIRES seven step approach</w:t>
            </w:r>
          </w:p>
          <w:p w14:paraId="606BB87B" w14:textId="77777777" w:rsidR="00277FCF" w:rsidRPr="00A93DDA" w:rsidRDefault="00277FCF" w:rsidP="00277FCF">
            <w:pPr>
              <w:tabs>
                <w:tab w:val="left" w:pos="680"/>
                <w:tab w:val="left" w:pos="7371"/>
              </w:tabs>
              <w:spacing w:line="276" w:lineRule="auto"/>
              <w:jc w:val="both"/>
              <w:rPr>
                <w:color w:val="FFFFFF" w:themeColor="background1"/>
              </w:rPr>
            </w:pPr>
            <w:r w:rsidRPr="00A93DDA">
              <w:rPr>
                <w:i/>
                <w:color w:val="002060"/>
              </w:rPr>
              <w:t>Step 1</w:t>
            </w:r>
            <w:r w:rsidRPr="00A93DDA">
              <w:rPr>
                <w:color w:val="002060"/>
              </w:rPr>
              <w:t xml:space="preserve">: </w:t>
            </w:r>
            <w:r w:rsidRPr="00A93DDA">
              <w:rPr>
                <w:color w:val="FFFFFF" w:themeColor="background1"/>
              </w:rPr>
              <w:t>Assess the most salient features of the institutional complex in place and trace its deep historical roots (WP2).</w:t>
            </w:r>
          </w:p>
          <w:p w14:paraId="1F9129D1" w14:textId="77777777" w:rsidR="00277FCF" w:rsidRPr="00A93DDA" w:rsidRDefault="00277FCF" w:rsidP="00277FCF">
            <w:pPr>
              <w:tabs>
                <w:tab w:val="left" w:pos="680"/>
                <w:tab w:val="left" w:pos="7371"/>
              </w:tabs>
              <w:spacing w:line="276" w:lineRule="auto"/>
              <w:jc w:val="both"/>
              <w:rPr>
                <w:color w:val="FFFFFF" w:themeColor="background1"/>
              </w:rPr>
            </w:pPr>
            <w:r w:rsidRPr="00A93DDA">
              <w:rPr>
                <w:i/>
                <w:color w:val="002060"/>
              </w:rPr>
              <w:t>Step 2</w:t>
            </w:r>
            <w:r w:rsidRPr="00A93DDA">
              <w:rPr>
                <w:color w:val="002060"/>
              </w:rPr>
              <w:t xml:space="preserve">: </w:t>
            </w:r>
            <w:r w:rsidRPr="00A93DDA">
              <w:rPr>
                <w:color w:val="FFFFFF" w:themeColor="background1"/>
              </w:rPr>
              <w:t>Assess the strengths and weaknesses and flag the bottlenecks in the entrepreneurial ecosystem using a structured data analysis (WP4).</w:t>
            </w:r>
          </w:p>
          <w:p w14:paraId="1EFDF651" w14:textId="77777777" w:rsidR="00277FCF" w:rsidRPr="00A93DDA" w:rsidRDefault="00277FCF" w:rsidP="00277FCF">
            <w:pPr>
              <w:tabs>
                <w:tab w:val="left" w:pos="680"/>
                <w:tab w:val="left" w:pos="7371"/>
              </w:tabs>
              <w:spacing w:line="276" w:lineRule="auto"/>
              <w:jc w:val="both"/>
              <w:rPr>
                <w:color w:val="FFFFFF" w:themeColor="background1"/>
              </w:rPr>
            </w:pPr>
            <w:r w:rsidRPr="00A93DDA">
              <w:rPr>
                <w:i/>
                <w:color w:val="002060"/>
              </w:rPr>
              <w:t>Step 3:</w:t>
            </w:r>
            <w:r w:rsidRPr="00A93DDA">
              <w:rPr>
                <w:color w:val="002060"/>
              </w:rPr>
              <w:t xml:space="preserve"> </w:t>
            </w:r>
            <w:r w:rsidRPr="00A93DDA">
              <w:rPr>
                <w:color w:val="FFFFFF" w:themeColor="background1"/>
              </w:rPr>
              <w:t>Identify, using careful primary data collection among entrepreneurial individuals (i.e. founders) what most salient features characterize the start-up process and where entrepreneurs face barriers (D5.1).</w:t>
            </w:r>
          </w:p>
          <w:p w14:paraId="0FDF4E88" w14:textId="77777777" w:rsidR="00277FCF" w:rsidRPr="00A93DDA" w:rsidRDefault="00277FCF" w:rsidP="00277FCF">
            <w:pPr>
              <w:tabs>
                <w:tab w:val="left" w:pos="680"/>
                <w:tab w:val="left" w:pos="7371"/>
              </w:tabs>
              <w:spacing w:line="276" w:lineRule="auto"/>
              <w:jc w:val="both"/>
              <w:rPr>
                <w:color w:val="FFFFFF" w:themeColor="background1"/>
              </w:rPr>
            </w:pPr>
            <w:r w:rsidRPr="00A93DDA">
              <w:rPr>
                <w:i/>
                <w:color w:val="002060"/>
              </w:rPr>
              <w:t>Step 4:</w:t>
            </w:r>
            <w:r w:rsidRPr="00A93DDA">
              <w:rPr>
                <w:color w:val="002060"/>
              </w:rPr>
              <w:t xml:space="preserve"> </w:t>
            </w:r>
            <w:r w:rsidRPr="00A93DDA">
              <w:rPr>
                <w:color w:val="FFFFFF" w:themeColor="background1"/>
              </w:rPr>
              <w:t>Map the results of step 2 and 3 onto the menu of policy interventions developed in Part I of this report to identify potential interventions for the country under investigation.</w:t>
            </w:r>
          </w:p>
          <w:p w14:paraId="04D4675D" w14:textId="77777777" w:rsidR="00277FCF" w:rsidRPr="00A93DDA" w:rsidRDefault="00277FCF" w:rsidP="00277FCF">
            <w:pPr>
              <w:tabs>
                <w:tab w:val="left" w:pos="680"/>
                <w:tab w:val="left" w:pos="7371"/>
              </w:tabs>
              <w:spacing w:line="276" w:lineRule="auto"/>
              <w:jc w:val="both"/>
              <w:rPr>
                <w:color w:val="FFFFFF" w:themeColor="background1"/>
              </w:rPr>
            </w:pPr>
            <w:r w:rsidRPr="00A93DDA">
              <w:rPr>
                <w:i/>
                <w:color w:val="002060"/>
              </w:rPr>
              <w:t>Step 5:</w:t>
            </w:r>
            <w:r w:rsidRPr="00A93DDA">
              <w:rPr>
                <w:color w:val="002060"/>
              </w:rPr>
              <w:t xml:space="preserve"> </w:t>
            </w:r>
            <w:r w:rsidRPr="00A93DDA">
              <w:rPr>
                <w:color w:val="FFFFFF" w:themeColor="background1"/>
              </w:rPr>
              <w:t>Carefully consider the list of proposals in light of the historical analysis under step 1 and fit the proposed reforms to the relevant local, regional and national institutional complex in place.</w:t>
            </w:r>
          </w:p>
          <w:p w14:paraId="638E17DA" w14:textId="77777777" w:rsidR="00277FCF" w:rsidRPr="00A93DDA" w:rsidRDefault="00277FCF" w:rsidP="00277FCF">
            <w:pPr>
              <w:tabs>
                <w:tab w:val="left" w:pos="680"/>
                <w:tab w:val="left" w:pos="7371"/>
              </w:tabs>
              <w:spacing w:line="276" w:lineRule="auto"/>
              <w:jc w:val="both"/>
              <w:rPr>
                <w:color w:val="FFFFFF" w:themeColor="background1"/>
              </w:rPr>
            </w:pPr>
            <w:r w:rsidRPr="00A93DDA">
              <w:rPr>
                <w:i/>
                <w:color w:val="002060"/>
              </w:rPr>
              <w:t>Step 6:</w:t>
            </w:r>
            <w:r w:rsidRPr="00A93DDA">
              <w:rPr>
                <w:color w:val="002060"/>
              </w:rPr>
              <w:t xml:space="preserve"> </w:t>
            </w:r>
            <w:r w:rsidRPr="00A93DDA">
              <w:rPr>
                <w:color w:val="FFFFFF" w:themeColor="background1"/>
              </w:rPr>
              <w:t>Identify who should change what in what order for the reform strategy to have the highest chance of success (WP6).</w:t>
            </w:r>
          </w:p>
          <w:p w14:paraId="5D35E175" w14:textId="77777777" w:rsidR="00277FCF" w:rsidRPr="00A93DDA" w:rsidRDefault="00277FCF" w:rsidP="00277FCF">
            <w:pPr>
              <w:tabs>
                <w:tab w:val="left" w:pos="680"/>
                <w:tab w:val="left" w:pos="7371"/>
              </w:tabs>
              <w:spacing w:line="276" w:lineRule="auto"/>
              <w:jc w:val="both"/>
              <w:rPr>
                <w:color w:val="FFFFFF" w:themeColor="background1"/>
              </w:rPr>
            </w:pPr>
            <w:r w:rsidRPr="00A93DDA">
              <w:rPr>
                <w:i/>
                <w:color w:val="002060"/>
              </w:rPr>
              <w:t>Step 7:</w:t>
            </w:r>
            <w:r w:rsidRPr="00A93DDA">
              <w:rPr>
                <w:color w:val="002060"/>
              </w:rPr>
              <w:t xml:space="preserve"> </w:t>
            </w:r>
            <w:r w:rsidRPr="00A93DDA">
              <w:rPr>
                <w:color w:val="FFFFFF" w:themeColor="background1"/>
              </w:rPr>
              <w:t>Experiment, evaluate and learn and return to step 1 for the next iteration.</w:t>
            </w:r>
          </w:p>
          <w:p w14:paraId="7717287B" w14:textId="77777777" w:rsidR="00277FCF" w:rsidRPr="00A93DDA" w:rsidRDefault="00277FCF" w:rsidP="00A93DDA">
            <w:pPr>
              <w:autoSpaceDE w:val="0"/>
              <w:autoSpaceDN w:val="0"/>
              <w:adjustRightInd w:val="0"/>
              <w:spacing w:line="240" w:lineRule="auto"/>
              <w:jc w:val="both"/>
              <w:rPr>
                <w:color w:val="FFFFFF" w:themeColor="background1"/>
              </w:rPr>
            </w:pPr>
          </w:p>
        </w:tc>
      </w:tr>
    </w:tbl>
    <w:p w14:paraId="115697A2" w14:textId="77777777" w:rsidR="00C931CD" w:rsidRPr="00A93DDA" w:rsidRDefault="00C931CD" w:rsidP="00CF717A">
      <w:pPr>
        <w:pStyle w:val="Heading2"/>
        <w:spacing w:before="240"/>
      </w:pPr>
      <w:r w:rsidRPr="00A93DDA">
        <w:t xml:space="preserve">Section 1: </w:t>
      </w:r>
      <w:r w:rsidR="00496821" w:rsidRPr="00A93DDA">
        <w:t>The patient and our diagnosis</w:t>
      </w:r>
    </w:p>
    <w:p w14:paraId="4203D10E" w14:textId="0E39AF79" w:rsidR="00DC2F1D" w:rsidRPr="00A93DDA" w:rsidRDefault="00EF5921" w:rsidP="00C931CD">
      <w:pPr>
        <w:autoSpaceDE w:val="0"/>
        <w:autoSpaceDN w:val="0"/>
        <w:adjustRightInd w:val="0"/>
        <w:spacing w:line="240" w:lineRule="auto"/>
        <w:jc w:val="both"/>
        <w:rPr>
          <w:rFonts w:cs="Calibri"/>
          <w:color w:val="000000"/>
          <w:sz w:val="22"/>
          <w:szCs w:val="22"/>
        </w:rPr>
      </w:pPr>
      <w:r w:rsidRPr="00A93DDA">
        <w:rPr>
          <w:rFonts w:cs="Calibri"/>
          <w:color w:val="000000"/>
          <w:sz w:val="22"/>
          <w:szCs w:val="22"/>
        </w:rPr>
        <w:t>The FIRES-project started out by establishing that one-size-fit-all approaches to promoting an entrepreneurial society are unlikely to be successful. Making a society more entrepreneurial involves reforming its institutions such that more of society’s resources flow</w:t>
      </w:r>
      <w:r w:rsidR="008D4684">
        <w:rPr>
          <w:rFonts w:cs="Calibri"/>
          <w:color w:val="000000"/>
          <w:sz w:val="22"/>
          <w:szCs w:val="22"/>
        </w:rPr>
        <w:t xml:space="preserve"> into experimental, new venturing</w:t>
      </w:r>
      <w:r w:rsidRPr="00A93DDA">
        <w:rPr>
          <w:rFonts w:cs="Calibri"/>
          <w:color w:val="000000"/>
          <w:sz w:val="22"/>
          <w:szCs w:val="22"/>
        </w:rPr>
        <w:t>. But if it is institutio</w:t>
      </w:r>
      <w:r w:rsidR="00C3029A">
        <w:rPr>
          <w:rFonts w:cs="Calibri"/>
          <w:color w:val="000000"/>
          <w:sz w:val="22"/>
          <w:szCs w:val="22"/>
        </w:rPr>
        <w:t>ns that need to be reformed, the</w:t>
      </w:r>
      <w:r w:rsidRPr="00A93DDA">
        <w:rPr>
          <w:rFonts w:cs="Calibri"/>
          <w:color w:val="000000"/>
          <w:sz w:val="22"/>
          <w:szCs w:val="22"/>
        </w:rPr>
        <w:t xml:space="preserve">n we have to </w:t>
      </w:r>
      <w:r w:rsidR="00CE5B87">
        <w:rPr>
          <w:rFonts w:cs="Calibri"/>
          <w:color w:val="000000"/>
          <w:sz w:val="22"/>
          <w:szCs w:val="22"/>
        </w:rPr>
        <w:t>realise</w:t>
      </w:r>
      <w:r w:rsidRPr="00A93DDA">
        <w:rPr>
          <w:rFonts w:cs="Calibri"/>
          <w:color w:val="000000"/>
          <w:sz w:val="22"/>
          <w:szCs w:val="22"/>
        </w:rPr>
        <w:t xml:space="preserve"> that institutions have deep historical roots and never operate in isolation. In the complex web </w:t>
      </w:r>
      <w:r w:rsidRPr="00A93DDA">
        <w:rPr>
          <w:rFonts w:cs="Calibri"/>
          <w:color w:val="000000"/>
          <w:sz w:val="22"/>
          <w:szCs w:val="22"/>
        </w:rPr>
        <w:t xml:space="preserve">of interacting institutions that </w:t>
      </w:r>
      <w:r w:rsidR="00CE5B87">
        <w:rPr>
          <w:rFonts w:cs="Calibri"/>
          <w:color w:val="000000"/>
          <w:sz w:val="22"/>
          <w:szCs w:val="22"/>
        </w:rPr>
        <w:t>makes up</w:t>
      </w:r>
      <w:r w:rsidRPr="00A93DDA">
        <w:rPr>
          <w:rFonts w:cs="Calibri"/>
          <w:color w:val="000000"/>
          <w:sz w:val="22"/>
          <w:szCs w:val="22"/>
        </w:rPr>
        <w:t xml:space="preserve"> the entrepren</w:t>
      </w:r>
      <w:r w:rsidR="00DF295A" w:rsidRPr="00A93DDA">
        <w:rPr>
          <w:rFonts w:cs="Calibri"/>
          <w:color w:val="000000"/>
          <w:sz w:val="22"/>
          <w:szCs w:val="22"/>
        </w:rPr>
        <w:t>eurial ecosystem</w:t>
      </w:r>
      <w:r w:rsidR="00DC2F1D" w:rsidRPr="00A93DDA">
        <w:rPr>
          <w:rFonts w:cs="Calibri"/>
          <w:color w:val="000000"/>
          <w:sz w:val="22"/>
          <w:szCs w:val="22"/>
        </w:rPr>
        <w:t>, we need to first identify which</w:t>
      </w:r>
      <w:r w:rsidR="00DF295A" w:rsidRPr="00A93DDA">
        <w:rPr>
          <w:rFonts w:cs="Calibri"/>
          <w:color w:val="000000"/>
          <w:sz w:val="22"/>
          <w:szCs w:val="22"/>
        </w:rPr>
        <w:t xml:space="preserve"> </w:t>
      </w:r>
      <w:r w:rsidR="00DC2F1D" w:rsidRPr="00A93DDA">
        <w:rPr>
          <w:rFonts w:cs="Calibri"/>
          <w:color w:val="000000"/>
          <w:sz w:val="22"/>
          <w:szCs w:val="22"/>
        </w:rPr>
        <w:t>elements can be reformed and which ones we need to take a</w:t>
      </w:r>
      <w:r w:rsidR="00C3029A">
        <w:rPr>
          <w:rFonts w:cs="Calibri"/>
          <w:color w:val="000000"/>
          <w:sz w:val="22"/>
          <w:szCs w:val="22"/>
        </w:rPr>
        <w:t xml:space="preserve">s given. For Italy we conclude, </w:t>
      </w:r>
      <w:r w:rsidR="00DC2F1D" w:rsidRPr="00A93DDA">
        <w:rPr>
          <w:rFonts w:cs="Calibri"/>
          <w:color w:val="000000"/>
          <w:sz w:val="22"/>
          <w:szCs w:val="22"/>
        </w:rPr>
        <w:t>from our historical analysis</w:t>
      </w:r>
      <w:r w:rsidR="00C3029A">
        <w:rPr>
          <w:rFonts w:cs="Calibri"/>
          <w:color w:val="000000"/>
          <w:sz w:val="22"/>
          <w:szCs w:val="22"/>
        </w:rPr>
        <w:t>,</w:t>
      </w:r>
      <w:r w:rsidR="00DC2F1D" w:rsidRPr="00A93DDA">
        <w:rPr>
          <w:rFonts w:cs="Calibri"/>
          <w:color w:val="000000"/>
          <w:sz w:val="22"/>
          <w:szCs w:val="22"/>
        </w:rPr>
        <w:t xml:space="preserve"> that many of the institutions that are considered important in </w:t>
      </w:r>
      <w:r w:rsidR="00CE5B87">
        <w:rPr>
          <w:rFonts w:cs="Calibri"/>
          <w:color w:val="000000"/>
          <w:sz w:val="22"/>
          <w:szCs w:val="22"/>
        </w:rPr>
        <w:t>an</w:t>
      </w:r>
      <w:r w:rsidR="00DC2F1D" w:rsidRPr="00A93DDA">
        <w:rPr>
          <w:rFonts w:cs="Calibri"/>
          <w:color w:val="000000"/>
          <w:sz w:val="22"/>
          <w:szCs w:val="22"/>
        </w:rPr>
        <w:t xml:space="preserve"> entrepreneurial ecosystem, have deep roots. Already in the Renaissance, Italy saw the</w:t>
      </w:r>
      <w:r w:rsidR="00277FCF" w:rsidRPr="00A93DDA">
        <w:rPr>
          <w:rFonts w:cs="Calibri"/>
          <w:color w:val="000000"/>
          <w:sz w:val="22"/>
          <w:szCs w:val="22"/>
        </w:rPr>
        <w:t xml:space="preserve"> emergence of banking, patents and universities. We can also trace its corporatist tradition in labour relations to the long presence of the Catholic Church that </w:t>
      </w:r>
      <w:r w:rsidR="00CE5B87">
        <w:rPr>
          <w:rFonts w:cs="Calibri"/>
          <w:color w:val="000000"/>
          <w:sz w:val="22"/>
          <w:szCs w:val="22"/>
        </w:rPr>
        <w:t>still</w:t>
      </w:r>
      <w:r w:rsidR="00277FCF" w:rsidRPr="00A93DDA">
        <w:rPr>
          <w:rFonts w:cs="Calibri"/>
          <w:color w:val="000000"/>
          <w:sz w:val="22"/>
          <w:szCs w:val="22"/>
        </w:rPr>
        <w:t xml:space="preserve"> has an important influence on the Italian welfare arrangement and social security system. The Italian labour relations have also been shaped by a strong and militant communist worker movement</w:t>
      </w:r>
      <w:r w:rsidR="00CE5B87">
        <w:rPr>
          <w:rFonts w:cs="Calibri"/>
          <w:color w:val="000000"/>
          <w:sz w:val="22"/>
          <w:szCs w:val="22"/>
        </w:rPr>
        <w:t>. This</w:t>
      </w:r>
      <w:r w:rsidR="00277FCF" w:rsidRPr="00A93DDA">
        <w:rPr>
          <w:rFonts w:cs="Calibri"/>
          <w:color w:val="000000"/>
          <w:sz w:val="22"/>
          <w:szCs w:val="22"/>
        </w:rPr>
        <w:t xml:space="preserve"> led the Varietie</w:t>
      </w:r>
      <w:r w:rsidR="008E37B6">
        <w:rPr>
          <w:rFonts w:cs="Calibri"/>
          <w:color w:val="000000"/>
          <w:sz w:val="22"/>
          <w:szCs w:val="22"/>
        </w:rPr>
        <w:t xml:space="preserve">s of Capitalism literature </w:t>
      </w:r>
      <w:r w:rsidR="00277FCF" w:rsidRPr="00A93DDA">
        <w:rPr>
          <w:rFonts w:cs="Calibri"/>
          <w:color w:val="000000"/>
          <w:sz w:val="22"/>
          <w:szCs w:val="22"/>
        </w:rPr>
        <w:t xml:space="preserve">to classify Italy as a Mixed Market Economy among the Mediterranean rather than </w:t>
      </w:r>
      <w:r w:rsidR="00CE5B87">
        <w:rPr>
          <w:rFonts w:cs="Calibri"/>
          <w:color w:val="000000"/>
          <w:sz w:val="22"/>
          <w:szCs w:val="22"/>
        </w:rPr>
        <w:t xml:space="preserve">a Coordinated Markets Economy among </w:t>
      </w:r>
      <w:r w:rsidR="008E37B6">
        <w:rPr>
          <w:rFonts w:cs="Calibri"/>
          <w:color w:val="000000"/>
          <w:sz w:val="22"/>
          <w:szCs w:val="22"/>
        </w:rPr>
        <w:t>the Continental E</w:t>
      </w:r>
      <w:r w:rsidR="00277FCF" w:rsidRPr="00A93DDA">
        <w:rPr>
          <w:rFonts w:cs="Calibri"/>
          <w:color w:val="000000"/>
          <w:sz w:val="22"/>
          <w:szCs w:val="22"/>
        </w:rPr>
        <w:t>conomies</w:t>
      </w:r>
      <w:r w:rsidR="00CE5B87">
        <w:rPr>
          <w:rFonts w:cs="Calibri"/>
          <w:color w:val="000000"/>
          <w:sz w:val="22"/>
          <w:szCs w:val="22"/>
        </w:rPr>
        <w:t>, although Italy has one leg in both (e.g. Dilli et al. 2018)</w:t>
      </w:r>
      <w:r w:rsidR="00277FCF" w:rsidRPr="00A93DDA">
        <w:rPr>
          <w:rFonts w:cs="Calibri"/>
          <w:color w:val="000000"/>
          <w:sz w:val="22"/>
          <w:szCs w:val="22"/>
        </w:rPr>
        <w:t xml:space="preserve">. Against this background, it is advised not to treat Italy as a blank canvas, but rather suggest policies and reforms that fit </w:t>
      </w:r>
      <w:r w:rsidR="00CE5B87">
        <w:rPr>
          <w:rFonts w:cs="Calibri"/>
          <w:color w:val="000000"/>
          <w:sz w:val="22"/>
          <w:szCs w:val="22"/>
        </w:rPr>
        <w:t>this</w:t>
      </w:r>
      <w:r w:rsidR="00277FCF" w:rsidRPr="00A93DDA">
        <w:rPr>
          <w:rFonts w:cs="Calibri"/>
          <w:color w:val="000000"/>
          <w:sz w:val="22"/>
          <w:szCs w:val="22"/>
        </w:rPr>
        <w:t xml:space="preserve"> rich and proud historical heritage.  </w:t>
      </w:r>
    </w:p>
    <w:p w14:paraId="2777F090" w14:textId="77777777" w:rsidR="00DC2F1D" w:rsidRPr="00A93DDA" w:rsidRDefault="00DC2F1D" w:rsidP="00C931CD">
      <w:pPr>
        <w:autoSpaceDE w:val="0"/>
        <w:autoSpaceDN w:val="0"/>
        <w:adjustRightInd w:val="0"/>
        <w:spacing w:line="240" w:lineRule="auto"/>
        <w:jc w:val="both"/>
        <w:rPr>
          <w:rFonts w:cs="Calibri"/>
          <w:color w:val="000000"/>
          <w:sz w:val="22"/>
          <w:szCs w:val="22"/>
        </w:rPr>
      </w:pPr>
    </w:p>
    <w:p w14:paraId="3F547C0F" w14:textId="5D77E92A" w:rsidR="00C931CD" w:rsidRPr="00A93DDA" w:rsidRDefault="00CE5B87" w:rsidP="00C931CD">
      <w:pPr>
        <w:autoSpaceDE w:val="0"/>
        <w:autoSpaceDN w:val="0"/>
        <w:adjustRightInd w:val="0"/>
        <w:spacing w:line="240" w:lineRule="auto"/>
        <w:jc w:val="both"/>
        <w:rPr>
          <w:rFonts w:cs="Calibri"/>
          <w:color w:val="000000"/>
          <w:sz w:val="22"/>
          <w:szCs w:val="22"/>
        </w:rPr>
      </w:pPr>
      <w:r>
        <w:rPr>
          <w:rFonts w:cs="Calibri"/>
          <w:color w:val="000000"/>
          <w:sz w:val="22"/>
          <w:szCs w:val="22"/>
        </w:rPr>
        <w:t>Knowing the patient’s history,</w:t>
      </w:r>
      <w:r w:rsidR="00DC2F1D" w:rsidRPr="00A93DDA">
        <w:rPr>
          <w:rFonts w:cs="Calibri"/>
          <w:color w:val="000000"/>
          <w:sz w:val="22"/>
          <w:szCs w:val="22"/>
        </w:rPr>
        <w:t xml:space="preserve"> we can proceed </w:t>
      </w:r>
      <w:r>
        <w:rPr>
          <w:rFonts w:cs="Calibri"/>
          <w:color w:val="000000"/>
          <w:sz w:val="22"/>
          <w:szCs w:val="22"/>
        </w:rPr>
        <w:t xml:space="preserve">with the examination </w:t>
      </w:r>
      <w:r w:rsidR="00DC2F1D" w:rsidRPr="00A93DDA">
        <w:rPr>
          <w:rFonts w:cs="Calibri"/>
          <w:color w:val="000000"/>
          <w:sz w:val="22"/>
          <w:szCs w:val="22"/>
        </w:rPr>
        <w:t xml:space="preserve">to identify the most important bottlenecks and weaknesses in the entrepreneurial ecosystem. A combination of quantitative and qualitative information is required to come to a </w:t>
      </w:r>
      <w:r w:rsidR="00277FCF" w:rsidRPr="00A93DDA">
        <w:rPr>
          <w:rFonts w:cs="Calibri"/>
          <w:color w:val="000000"/>
          <w:sz w:val="22"/>
          <w:szCs w:val="22"/>
        </w:rPr>
        <w:t>complete diagnosis</w:t>
      </w:r>
      <w:r w:rsidR="00C931CD" w:rsidRPr="00A93DDA">
        <w:rPr>
          <w:rFonts w:cs="Calibri"/>
          <w:color w:val="000000"/>
          <w:sz w:val="22"/>
          <w:szCs w:val="22"/>
        </w:rPr>
        <w:t>.</w:t>
      </w:r>
      <w:r w:rsidR="00277FCF" w:rsidRPr="00A93DDA">
        <w:rPr>
          <w:rFonts w:cs="Calibri"/>
          <w:color w:val="000000"/>
          <w:sz w:val="22"/>
          <w:szCs w:val="22"/>
        </w:rPr>
        <w:t xml:space="preserve"> </w:t>
      </w:r>
      <w:r w:rsidR="00230C32" w:rsidRPr="00A93DDA">
        <w:rPr>
          <w:rFonts w:cs="Calibri"/>
          <w:color w:val="000000"/>
          <w:sz w:val="22"/>
          <w:szCs w:val="22"/>
        </w:rPr>
        <w:t xml:space="preserve">The quantitative analysis is based on the </w:t>
      </w:r>
      <w:hyperlink r:id="rId18" w:history="1">
        <w:r w:rsidR="00230C32" w:rsidRPr="00A93DDA">
          <w:rPr>
            <w:rStyle w:val="Hyperlink"/>
            <w:rFonts w:cs="Calibri"/>
            <w:sz w:val="22"/>
            <w:szCs w:val="22"/>
          </w:rPr>
          <w:t>Global Entrepreneurship Index</w:t>
        </w:r>
      </w:hyperlink>
      <w:r w:rsidR="00230C32" w:rsidRPr="00A93DDA">
        <w:rPr>
          <w:rFonts w:cs="Calibri"/>
          <w:color w:val="000000"/>
          <w:sz w:val="22"/>
          <w:szCs w:val="22"/>
        </w:rPr>
        <w:t xml:space="preserve"> and its regional equivalent, the </w:t>
      </w:r>
      <w:hyperlink r:id="rId19" w:history="1">
        <w:r w:rsidR="00230C32" w:rsidRPr="00A93DDA">
          <w:rPr>
            <w:rStyle w:val="Hyperlink"/>
            <w:rFonts w:cs="Calibri"/>
            <w:sz w:val="22"/>
            <w:szCs w:val="22"/>
          </w:rPr>
          <w:t>Regional Entrepreneurship and Development Index</w:t>
        </w:r>
      </w:hyperlink>
      <w:r w:rsidR="00230C32" w:rsidRPr="00A93DDA">
        <w:rPr>
          <w:rFonts w:cs="Calibri"/>
          <w:color w:val="000000"/>
          <w:sz w:val="22"/>
          <w:szCs w:val="22"/>
        </w:rPr>
        <w:t xml:space="preserve"> (</w:t>
      </w:r>
      <w:r w:rsidR="00230C32" w:rsidRPr="001F366F">
        <w:rPr>
          <w:rFonts w:cs="Calibri"/>
          <w:sz w:val="22"/>
          <w:szCs w:val="22"/>
        </w:rPr>
        <w:t>Acs and Sz</w:t>
      </w:r>
      <w:r w:rsidR="00D819B9" w:rsidRPr="001F366F">
        <w:rPr>
          <w:rFonts w:cs="Calibri"/>
          <w:sz w:val="22"/>
          <w:szCs w:val="22"/>
        </w:rPr>
        <w:t>erb 2012</w:t>
      </w:r>
      <w:r w:rsidR="00230C32" w:rsidRPr="00A93DDA">
        <w:rPr>
          <w:rFonts w:cs="Calibri"/>
          <w:color w:val="000000"/>
          <w:sz w:val="22"/>
          <w:szCs w:val="22"/>
        </w:rPr>
        <w:t xml:space="preserve">). The technical details behind constructing these indices are explained in detail in FIRES-reports </w:t>
      </w:r>
      <w:hyperlink r:id="rId20" w:history="1">
        <w:r w:rsidR="00230C32" w:rsidRPr="00A93DDA">
          <w:rPr>
            <w:rStyle w:val="Hyperlink"/>
            <w:rFonts w:cs="Calibri"/>
            <w:sz w:val="22"/>
            <w:szCs w:val="22"/>
          </w:rPr>
          <w:t>D4.1</w:t>
        </w:r>
      </w:hyperlink>
      <w:r w:rsidR="00230C32" w:rsidRPr="00A93DDA">
        <w:rPr>
          <w:rFonts w:cs="Calibri"/>
          <w:color w:val="000000"/>
          <w:sz w:val="22"/>
          <w:szCs w:val="22"/>
        </w:rPr>
        <w:t xml:space="preserve">, D4.2 and </w:t>
      </w:r>
      <w:hyperlink r:id="rId21" w:history="1">
        <w:r w:rsidR="00230C32" w:rsidRPr="00A93DDA">
          <w:rPr>
            <w:rStyle w:val="Hyperlink"/>
            <w:rFonts w:cs="Calibri"/>
            <w:sz w:val="22"/>
            <w:szCs w:val="22"/>
          </w:rPr>
          <w:t>D4.4</w:t>
        </w:r>
      </w:hyperlink>
      <w:r w:rsidR="00230C32" w:rsidRPr="00A93DDA">
        <w:rPr>
          <w:rFonts w:cs="Calibri"/>
          <w:color w:val="000000"/>
          <w:sz w:val="22"/>
          <w:szCs w:val="22"/>
        </w:rPr>
        <w:t xml:space="preserve">. Using an algorithm that converts the raw data into normalized </w:t>
      </w:r>
      <w:r w:rsidR="008E37B6">
        <w:rPr>
          <w:rFonts w:cs="Calibri"/>
          <w:color w:val="000000"/>
          <w:sz w:val="22"/>
          <w:szCs w:val="22"/>
        </w:rPr>
        <w:t xml:space="preserve">scores per pillar </w:t>
      </w:r>
      <w:r w:rsidR="001F366F">
        <w:rPr>
          <w:rFonts w:cs="Calibri"/>
          <w:color w:val="000000"/>
          <w:sz w:val="22"/>
          <w:szCs w:val="22"/>
        </w:rPr>
        <w:t xml:space="preserve">GEI/REDI allows us to assess </w:t>
      </w:r>
      <w:r w:rsidR="00230C32" w:rsidRPr="00A93DDA">
        <w:rPr>
          <w:rFonts w:cs="Calibri"/>
          <w:color w:val="000000"/>
          <w:sz w:val="22"/>
          <w:szCs w:val="22"/>
        </w:rPr>
        <w:t>a country</w:t>
      </w:r>
      <w:r w:rsidR="00C3029A">
        <w:rPr>
          <w:rFonts w:cs="Calibri"/>
          <w:color w:val="000000"/>
          <w:sz w:val="22"/>
          <w:szCs w:val="22"/>
        </w:rPr>
        <w:t>’s</w:t>
      </w:r>
      <w:r w:rsidR="00230C32" w:rsidRPr="00A93DDA">
        <w:rPr>
          <w:rFonts w:cs="Calibri"/>
          <w:color w:val="000000"/>
          <w:sz w:val="22"/>
          <w:szCs w:val="22"/>
        </w:rPr>
        <w:t xml:space="preserve"> or regions</w:t>
      </w:r>
      <w:r w:rsidR="00C3029A">
        <w:rPr>
          <w:rFonts w:cs="Calibri"/>
          <w:color w:val="000000"/>
          <w:sz w:val="22"/>
          <w:szCs w:val="22"/>
        </w:rPr>
        <w:t>’</w:t>
      </w:r>
      <w:r w:rsidR="00230C32" w:rsidRPr="00A93DDA">
        <w:rPr>
          <w:rFonts w:cs="Calibri"/>
          <w:color w:val="000000"/>
          <w:sz w:val="22"/>
          <w:szCs w:val="22"/>
        </w:rPr>
        <w:t xml:space="preserve"> </w:t>
      </w:r>
      <w:r w:rsidR="00230C32" w:rsidRPr="001F366F">
        <w:rPr>
          <w:rFonts w:cs="Calibri"/>
          <w:i/>
          <w:color w:val="000000"/>
          <w:sz w:val="22"/>
          <w:szCs w:val="22"/>
        </w:rPr>
        <w:t>relative</w:t>
      </w:r>
      <w:r w:rsidR="00230C32" w:rsidRPr="00A93DDA">
        <w:rPr>
          <w:rFonts w:cs="Calibri"/>
          <w:color w:val="000000"/>
          <w:sz w:val="22"/>
          <w:szCs w:val="22"/>
        </w:rPr>
        <w:t xml:space="preserve"> performance. The algorithm also applies a “penalty for bottleneck” to reflect the importance of developing all relevant aspects of the </w:t>
      </w:r>
      <w:r w:rsidR="00230C32" w:rsidRPr="00A93DDA">
        <w:rPr>
          <w:rFonts w:cs="Calibri"/>
          <w:color w:val="000000"/>
          <w:sz w:val="22"/>
          <w:szCs w:val="22"/>
        </w:rPr>
        <w:lastRenderedPageBreak/>
        <w:t xml:space="preserve">ecosystem in a balanced way. Leaving the technical details in the black box (as a doctor would when looking at a PET-scan) </w:t>
      </w:r>
      <w:r w:rsidR="00195E49" w:rsidRPr="00A93DDA">
        <w:rPr>
          <w:rFonts w:cs="Calibri"/>
          <w:color w:val="000000"/>
          <w:sz w:val="22"/>
          <w:szCs w:val="22"/>
        </w:rPr>
        <w:t>we simply present the resulting plots for Italy and its NUTS-2 regions in the radar-plots below.</w:t>
      </w:r>
    </w:p>
    <w:p w14:paraId="27282AAF" w14:textId="77777777" w:rsidR="00195E49" w:rsidRPr="00A93DDA" w:rsidRDefault="00195E49" w:rsidP="00C931CD">
      <w:pPr>
        <w:autoSpaceDE w:val="0"/>
        <w:autoSpaceDN w:val="0"/>
        <w:adjustRightInd w:val="0"/>
        <w:spacing w:line="240" w:lineRule="auto"/>
        <w:jc w:val="both"/>
        <w:rPr>
          <w:rFonts w:cs="Calibri"/>
          <w:color w:val="000000"/>
          <w:sz w:val="22"/>
          <w:szCs w:val="22"/>
        </w:rPr>
      </w:pPr>
    </w:p>
    <w:p w14:paraId="4AFA503E" w14:textId="77777777" w:rsidR="00E508FE" w:rsidRPr="00A93DDA" w:rsidRDefault="00E508FE" w:rsidP="00E508FE">
      <w:pPr>
        <w:pStyle w:val="Caption"/>
        <w:keepNext/>
        <w:jc w:val="both"/>
      </w:pPr>
      <w:r w:rsidRPr="00A93DDA">
        <w:t xml:space="preserve">Figure </w:t>
      </w:r>
      <w:r w:rsidRPr="00A93DDA">
        <w:fldChar w:fldCharType="begin"/>
      </w:r>
      <w:r w:rsidRPr="00A93DDA">
        <w:instrText xml:space="preserve"> SEQ Figure \* ARABIC </w:instrText>
      </w:r>
      <w:r w:rsidRPr="00A93DDA">
        <w:fldChar w:fldCharType="separate"/>
      </w:r>
      <w:r w:rsidR="00F9490C" w:rsidRPr="00A93DDA">
        <w:rPr>
          <w:noProof/>
        </w:rPr>
        <w:t>1</w:t>
      </w:r>
      <w:r w:rsidRPr="00A93DDA">
        <w:fldChar w:fldCharType="end"/>
      </w:r>
      <w:r w:rsidRPr="00A93DDA">
        <w:t>: Average GEI-scores 2012-2015</w:t>
      </w:r>
    </w:p>
    <w:p w14:paraId="7FE53E19" w14:textId="77777777" w:rsidR="00195E49" w:rsidRPr="00A93DDA" w:rsidRDefault="00E508FE" w:rsidP="00C931CD">
      <w:pPr>
        <w:autoSpaceDE w:val="0"/>
        <w:autoSpaceDN w:val="0"/>
        <w:adjustRightInd w:val="0"/>
        <w:spacing w:line="240" w:lineRule="auto"/>
        <w:jc w:val="both"/>
        <w:rPr>
          <w:rFonts w:cs="Calibri"/>
          <w:color w:val="000000"/>
          <w:sz w:val="22"/>
          <w:szCs w:val="22"/>
        </w:rPr>
      </w:pPr>
      <w:r w:rsidRPr="00A93DDA">
        <w:rPr>
          <w:noProof/>
          <w:lang w:val="en-US" w:eastAsia="en-US"/>
        </w:rPr>
        <w:drawing>
          <wp:inline distT="0" distB="0" distL="0" distR="0" wp14:anchorId="7F6BF006" wp14:editId="6AE413E8">
            <wp:extent cx="2653665" cy="1827066"/>
            <wp:effectExtent l="25400" t="25400" r="26035"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2-21 at 13.22.42.png"/>
                    <pic:cNvPicPr/>
                  </pic:nvPicPr>
                  <pic:blipFill>
                    <a:blip r:embed="rId22"/>
                    <a:stretch>
                      <a:fillRect/>
                    </a:stretch>
                  </pic:blipFill>
                  <pic:spPr>
                    <a:xfrm>
                      <a:off x="0" y="0"/>
                      <a:ext cx="2653665" cy="1827066"/>
                    </a:xfrm>
                    <a:prstGeom prst="rect">
                      <a:avLst/>
                    </a:prstGeom>
                    <a:ln w="25400">
                      <a:solidFill>
                        <a:schemeClr val="tx1"/>
                      </a:solidFill>
                    </a:ln>
                  </pic:spPr>
                </pic:pic>
              </a:graphicData>
            </a:graphic>
          </wp:inline>
        </w:drawing>
      </w:r>
    </w:p>
    <w:p w14:paraId="188C54A6" w14:textId="77777777" w:rsidR="00E508FE" w:rsidRPr="00A93DDA" w:rsidRDefault="00E508FE" w:rsidP="00C931CD">
      <w:pPr>
        <w:autoSpaceDE w:val="0"/>
        <w:autoSpaceDN w:val="0"/>
        <w:adjustRightInd w:val="0"/>
        <w:spacing w:line="240" w:lineRule="auto"/>
        <w:jc w:val="both"/>
        <w:rPr>
          <w:rFonts w:cs="Calibri"/>
          <w:color w:val="000000"/>
          <w:sz w:val="22"/>
          <w:szCs w:val="22"/>
        </w:rPr>
      </w:pPr>
    </w:p>
    <w:p w14:paraId="5A9818AE" w14:textId="71C345A7" w:rsidR="00F9490C" w:rsidRPr="00A93DDA" w:rsidRDefault="00C3029A" w:rsidP="00C931CD">
      <w:pPr>
        <w:autoSpaceDE w:val="0"/>
        <w:autoSpaceDN w:val="0"/>
        <w:adjustRightInd w:val="0"/>
        <w:spacing w:line="240" w:lineRule="auto"/>
        <w:jc w:val="both"/>
        <w:rPr>
          <w:rFonts w:cs="Calibri"/>
          <w:color w:val="000000"/>
          <w:sz w:val="22"/>
          <w:szCs w:val="22"/>
        </w:rPr>
      </w:pPr>
      <w:r>
        <w:rPr>
          <w:rFonts w:cs="Calibri"/>
          <w:color w:val="000000"/>
          <w:sz w:val="22"/>
          <w:szCs w:val="22"/>
        </w:rPr>
        <w:t xml:space="preserve">Figure 1 above </w:t>
      </w:r>
      <w:r w:rsidR="00E508FE" w:rsidRPr="00A93DDA">
        <w:rPr>
          <w:rFonts w:cs="Calibri"/>
          <w:color w:val="000000"/>
          <w:sz w:val="22"/>
          <w:szCs w:val="22"/>
        </w:rPr>
        <w:t xml:space="preserve">shows </w:t>
      </w:r>
      <w:r>
        <w:rPr>
          <w:rFonts w:cs="Calibri"/>
          <w:color w:val="000000"/>
          <w:sz w:val="22"/>
          <w:szCs w:val="22"/>
        </w:rPr>
        <w:t xml:space="preserve">that </w:t>
      </w:r>
      <w:r w:rsidR="00E508FE" w:rsidRPr="00A93DDA">
        <w:rPr>
          <w:rFonts w:cs="Calibri"/>
          <w:color w:val="000000"/>
          <w:sz w:val="22"/>
          <w:szCs w:val="22"/>
        </w:rPr>
        <w:t>Italy has a rather unbalanced entrepreneurial ecosystem. It excels in product and process innovation, but this stre</w:t>
      </w:r>
      <w:r w:rsidR="00913051">
        <w:rPr>
          <w:rFonts w:cs="Calibri"/>
          <w:color w:val="000000"/>
          <w:sz w:val="22"/>
          <w:szCs w:val="22"/>
        </w:rPr>
        <w:t>ngth is negated by its lack of High Growth entrepreneurship and Human C</w:t>
      </w:r>
      <w:r w:rsidR="00E508FE" w:rsidRPr="00A93DDA">
        <w:rPr>
          <w:rFonts w:cs="Calibri"/>
          <w:color w:val="000000"/>
          <w:sz w:val="22"/>
          <w:szCs w:val="22"/>
        </w:rPr>
        <w:t xml:space="preserve">apital. Italy also lags significantly, relative also to the EU average, on all pillars that relate to Entrepreneurial Attitudes (pillars 1 to 5). </w:t>
      </w:r>
    </w:p>
    <w:p w14:paraId="17F7A3C7" w14:textId="77777777" w:rsidR="00F9490C" w:rsidRPr="00A93DDA" w:rsidRDefault="00F9490C" w:rsidP="00C931CD">
      <w:pPr>
        <w:autoSpaceDE w:val="0"/>
        <w:autoSpaceDN w:val="0"/>
        <w:adjustRightInd w:val="0"/>
        <w:spacing w:line="240" w:lineRule="auto"/>
        <w:jc w:val="both"/>
        <w:rPr>
          <w:rFonts w:cs="Calibri"/>
          <w:color w:val="000000"/>
          <w:sz w:val="22"/>
          <w:szCs w:val="22"/>
        </w:rPr>
      </w:pPr>
    </w:p>
    <w:p w14:paraId="1252D799" w14:textId="77777777" w:rsidR="00F9490C" w:rsidRPr="00A93DDA" w:rsidRDefault="00F9490C" w:rsidP="00F9490C">
      <w:pPr>
        <w:pStyle w:val="Caption"/>
        <w:keepNext/>
        <w:jc w:val="both"/>
      </w:pPr>
      <w:r w:rsidRPr="00A93DDA">
        <w:t xml:space="preserve">Figure </w:t>
      </w:r>
      <w:r w:rsidRPr="00A93DDA">
        <w:fldChar w:fldCharType="begin"/>
      </w:r>
      <w:r w:rsidRPr="00A93DDA">
        <w:instrText xml:space="preserve"> SEQ Figure \* ARABIC </w:instrText>
      </w:r>
      <w:r w:rsidRPr="00A93DDA">
        <w:fldChar w:fldCharType="separate"/>
      </w:r>
      <w:r w:rsidRPr="00A93DDA">
        <w:rPr>
          <w:noProof/>
        </w:rPr>
        <w:t>2</w:t>
      </w:r>
      <w:r w:rsidRPr="00A93DDA">
        <w:fldChar w:fldCharType="end"/>
      </w:r>
      <w:r w:rsidRPr="00A93DDA">
        <w:t>: REDI-scores Italian Regions</w:t>
      </w:r>
    </w:p>
    <w:p w14:paraId="0F25B4F1" w14:textId="77777777" w:rsidR="00F9490C" w:rsidRPr="00A93DDA" w:rsidRDefault="00F9490C" w:rsidP="00C931CD">
      <w:pPr>
        <w:autoSpaceDE w:val="0"/>
        <w:autoSpaceDN w:val="0"/>
        <w:adjustRightInd w:val="0"/>
        <w:spacing w:line="240" w:lineRule="auto"/>
        <w:jc w:val="both"/>
        <w:rPr>
          <w:rFonts w:cs="Calibri"/>
          <w:color w:val="000000"/>
          <w:sz w:val="22"/>
          <w:szCs w:val="22"/>
        </w:rPr>
      </w:pPr>
      <w:r w:rsidRPr="00A93DDA">
        <w:rPr>
          <w:noProof/>
          <w:lang w:val="en-US" w:eastAsia="en-US"/>
        </w:rPr>
        <w:drawing>
          <wp:inline distT="0" distB="0" distL="0" distR="0" wp14:anchorId="4ADCA3B1" wp14:editId="0D80933F">
            <wp:extent cx="2653665" cy="1620646"/>
            <wp:effectExtent l="25400" t="25400" r="26035" b="3048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2086" t="763" r="2642" b="3393"/>
                    <a:stretch/>
                  </pic:blipFill>
                  <pic:spPr bwMode="auto">
                    <a:xfrm>
                      <a:off x="0" y="0"/>
                      <a:ext cx="2653665" cy="1620646"/>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6EF28602" w14:textId="77777777" w:rsidR="006E1295" w:rsidRDefault="00E508FE" w:rsidP="00C931CD">
      <w:pPr>
        <w:autoSpaceDE w:val="0"/>
        <w:autoSpaceDN w:val="0"/>
        <w:adjustRightInd w:val="0"/>
        <w:spacing w:line="240" w:lineRule="auto"/>
        <w:jc w:val="both"/>
        <w:rPr>
          <w:rFonts w:cs="Calibri"/>
          <w:color w:val="000000"/>
          <w:sz w:val="22"/>
          <w:szCs w:val="22"/>
        </w:rPr>
      </w:pPr>
      <w:r w:rsidRPr="00A93DDA">
        <w:rPr>
          <w:rFonts w:cs="Calibri"/>
          <w:color w:val="000000"/>
          <w:sz w:val="22"/>
          <w:szCs w:val="22"/>
        </w:rPr>
        <w:t xml:space="preserve">This pattern is repeated when we </w:t>
      </w:r>
      <w:r w:rsidR="001C0203">
        <w:rPr>
          <w:rFonts w:cs="Calibri"/>
          <w:color w:val="000000"/>
          <w:sz w:val="22"/>
          <w:szCs w:val="22"/>
        </w:rPr>
        <w:t>look at</w:t>
      </w:r>
      <w:r w:rsidRPr="00A93DDA">
        <w:rPr>
          <w:rFonts w:cs="Calibri"/>
          <w:color w:val="000000"/>
          <w:sz w:val="22"/>
          <w:szCs w:val="22"/>
        </w:rPr>
        <w:t xml:space="preserve"> the Italian NUTS-2 regions</w:t>
      </w:r>
      <w:r w:rsidR="006E1295">
        <w:rPr>
          <w:rFonts w:cs="Calibri"/>
          <w:color w:val="000000"/>
          <w:sz w:val="22"/>
          <w:szCs w:val="22"/>
        </w:rPr>
        <w:t>, as in F</w:t>
      </w:r>
      <w:r w:rsidR="006E1295" w:rsidRPr="00A93DDA">
        <w:rPr>
          <w:rFonts w:cs="Calibri"/>
          <w:color w:val="000000"/>
          <w:sz w:val="22"/>
          <w:szCs w:val="22"/>
        </w:rPr>
        <w:t>igures 2 and 3</w:t>
      </w:r>
      <w:r w:rsidRPr="00A93DDA">
        <w:rPr>
          <w:rFonts w:cs="Calibri"/>
          <w:color w:val="000000"/>
          <w:sz w:val="22"/>
          <w:szCs w:val="22"/>
        </w:rPr>
        <w:t xml:space="preserve"> </w:t>
      </w:r>
      <w:r w:rsidR="006E1295">
        <w:rPr>
          <w:rFonts w:cs="Calibri"/>
          <w:color w:val="000000"/>
          <w:sz w:val="22"/>
          <w:szCs w:val="22"/>
        </w:rPr>
        <w:t xml:space="preserve">and </w:t>
      </w:r>
      <w:r w:rsidR="006E1295">
        <w:rPr>
          <w:rFonts w:cs="Calibri"/>
          <w:color w:val="000000"/>
          <w:sz w:val="22"/>
          <w:szCs w:val="22"/>
        </w:rPr>
        <w:t xml:space="preserve">we benchmark them </w:t>
      </w:r>
      <w:r w:rsidRPr="00A93DDA">
        <w:rPr>
          <w:rFonts w:cs="Calibri"/>
          <w:color w:val="000000"/>
          <w:sz w:val="22"/>
          <w:szCs w:val="22"/>
        </w:rPr>
        <w:t>against 125 NUTS</w:t>
      </w:r>
      <w:r w:rsidR="00F9490C" w:rsidRPr="00A93DDA">
        <w:rPr>
          <w:rFonts w:cs="Calibri"/>
          <w:color w:val="000000"/>
          <w:sz w:val="22"/>
          <w:szCs w:val="22"/>
        </w:rPr>
        <w:t>1/2</w:t>
      </w:r>
      <w:r w:rsidRPr="00A93DDA">
        <w:rPr>
          <w:rFonts w:cs="Calibri"/>
          <w:color w:val="000000"/>
          <w:sz w:val="22"/>
          <w:szCs w:val="22"/>
        </w:rPr>
        <w:t xml:space="preserve"> regions</w:t>
      </w:r>
      <w:r w:rsidR="006E1295">
        <w:rPr>
          <w:rFonts w:cs="Calibri"/>
          <w:color w:val="000000"/>
          <w:sz w:val="22"/>
          <w:szCs w:val="22"/>
        </w:rPr>
        <w:t xml:space="preserve"> in 24 countries</w:t>
      </w:r>
      <w:r w:rsidRPr="00A93DDA">
        <w:rPr>
          <w:rFonts w:cs="Calibri"/>
          <w:color w:val="000000"/>
          <w:sz w:val="22"/>
          <w:szCs w:val="22"/>
        </w:rPr>
        <w:t>.</w:t>
      </w:r>
    </w:p>
    <w:p w14:paraId="349B4968" w14:textId="4D591E76" w:rsidR="00F9490C" w:rsidRPr="00A93DDA" w:rsidRDefault="00E508FE" w:rsidP="00C931CD">
      <w:pPr>
        <w:autoSpaceDE w:val="0"/>
        <w:autoSpaceDN w:val="0"/>
        <w:adjustRightInd w:val="0"/>
        <w:spacing w:line="240" w:lineRule="auto"/>
        <w:jc w:val="both"/>
        <w:rPr>
          <w:rFonts w:cs="Calibri"/>
          <w:color w:val="000000"/>
          <w:sz w:val="22"/>
          <w:szCs w:val="22"/>
        </w:rPr>
      </w:pPr>
      <w:r w:rsidRPr="00A93DDA">
        <w:rPr>
          <w:rFonts w:cs="Calibri"/>
          <w:color w:val="000000"/>
          <w:sz w:val="22"/>
          <w:szCs w:val="22"/>
        </w:rPr>
        <w:t xml:space="preserve"> </w:t>
      </w:r>
    </w:p>
    <w:p w14:paraId="445BFC0A" w14:textId="77777777" w:rsidR="00F9490C" w:rsidRPr="00A93DDA" w:rsidRDefault="00F9490C" w:rsidP="00F9490C">
      <w:pPr>
        <w:pStyle w:val="Caption"/>
        <w:keepNext/>
        <w:jc w:val="both"/>
      </w:pPr>
      <w:r w:rsidRPr="00A93DDA">
        <w:t xml:space="preserve">Figure </w:t>
      </w:r>
      <w:r w:rsidRPr="00A93DDA">
        <w:fldChar w:fldCharType="begin"/>
      </w:r>
      <w:r w:rsidRPr="00A93DDA">
        <w:instrText xml:space="preserve"> SEQ Figure \* ARABIC </w:instrText>
      </w:r>
      <w:r w:rsidRPr="00A93DDA">
        <w:fldChar w:fldCharType="separate"/>
      </w:r>
      <w:r w:rsidRPr="00A93DDA">
        <w:rPr>
          <w:noProof/>
        </w:rPr>
        <w:t>3</w:t>
      </w:r>
      <w:r w:rsidRPr="00A93DDA">
        <w:fldChar w:fldCharType="end"/>
      </w:r>
      <w:r w:rsidRPr="00A93DDA">
        <w:t>: REDI-scores Italian Regions</w:t>
      </w:r>
    </w:p>
    <w:p w14:paraId="17E0DCA2" w14:textId="77777777" w:rsidR="00F9490C" w:rsidRPr="00A93DDA" w:rsidRDefault="00F9490C" w:rsidP="00C931CD">
      <w:pPr>
        <w:autoSpaceDE w:val="0"/>
        <w:autoSpaceDN w:val="0"/>
        <w:adjustRightInd w:val="0"/>
        <w:spacing w:line="240" w:lineRule="auto"/>
        <w:jc w:val="both"/>
        <w:rPr>
          <w:rFonts w:cs="Calibri"/>
          <w:color w:val="000000"/>
          <w:sz w:val="22"/>
          <w:szCs w:val="22"/>
        </w:rPr>
      </w:pPr>
      <w:r w:rsidRPr="00A93DDA">
        <w:rPr>
          <w:noProof/>
          <w:lang w:val="en-US" w:eastAsia="en-US"/>
        </w:rPr>
        <w:drawing>
          <wp:inline distT="0" distB="0" distL="0" distR="0" wp14:anchorId="189D987A" wp14:editId="70EF49D3">
            <wp:extent cx="2653665" cy="1571835"/>
            <wp:effectExtent l="25400" t="25400" r="26035" b="2857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1166" t="769" r="1563" b="4319"/>
                    <a:stretch/>
                  </pic:blipFill>
                  <pic:spPr bwMode="auto">
                    <a:xfrm>
                      <a:off x="0" y="0"/>
                      <a:ext cx="2653665" cy="1571835"/>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287CF3E4" w14:textId="6E8C7ED9" w:rsidR="00F9490C" w:rsidRPr="00A93DDA" w:rsidRDefault="00E508FE" w:rsidP="00C931CD">
      <w:pPr>
        <w:autoSpaceDE w:val="0"/>
        <w:autoSpaceDN w:val="0"/>
        <w:adjustRightInd w:val="0"/>
        <w:spacing w:line="240" w:lineRule="auto"/>
        <w:jc w:val="both"/>
        <w:rPr>
          <w:rFonts w:cs="Calibri"/>
          <w:color w:val="000000"/>
          <w:sz w:val="22"/>
          <w:szCs w:val="22"/>
        </w:rPr>
      </w:pPr>
      <w:r w:rsidRPr="00A93DDA">
        <w:rPr>
          <w:rFonts w:cs="Calibri"/>
          <w:color w:val="000000"/>
          <w:sz w:val="22"/>
          <w:szCs w:val="22"/>
        </w:rPr>
        <w:t>I</w:t>
      </w:r>
      <w:r w:rsidR="008E37B6">
        <w:rPr>
          <w:rFonts w:cs="Calibri"/>
          <w:color w:val="000000"/>
          <w:sz w:val="22"/>
          <w:szCs w:val="22"/>
        </w:rPr>
        <w:t>n F</w:t>
      </w:r>
      <w:r w:rsidRPr="00A93DDA">
        <w:rPr>
          <w:rFonts w:cs="Calibri"/>
          <w:color w:val="000000"/>
          <w:sz w:val="22"/>
          <w:szCs w:val="22"/>
        </w:rPr>
        <w:t xml:space="preserve">igures </w:t>
      </w:r>
      <w:r w:rsidR="008E37B6">
        <w:rPr>
          <w:rFonts w:cs="Calibri"/>
          <w:color w:val="000000"/>
          <w:sz w:val="22"/>
          <w:szCs w:val="22"/>
        </w:rPr>
        <w:t xml:space="preserve">2 and 3 </w:t>
      </w:r>
      <w:r w:rsidRPr="00A93DDA">
        <w:rPr>
          <w:rFonts w:cs="Calibri"/>
          <w:color w:val="000000"/>
          <w:sz w:val="22"/>
          <w:szCs w:val="22"/>
        </w:rPr>
        <w:t>we observe the same unbalanced entrepreneurial ecosystem, explaining a relatively low score on the overall index for It</w:t>
      </w:r>
      <w:r w:rsidR="00EE48FD">
        <w:rPr>
          <w:rFonts w:cs="Calibri"/>
          <w:color w:val="000000"/>
          <w:sz w:val="22"/>
          <w:szCs w:val="22"/>
        </w:rPr>
        <w:t>aly (with 41.</w:t>
      </w:r>
      <w:r w:rsidRPr="00A93DDA">
        <w:rPr>
          <w:rFonts w:cs="Calibri"/>
          <w:color w:val="000000"/>
          <w:sz w:val="22"/>
          <w:szCs w:val="22"/>
        </w:rPr>
        <w:t>4</w:t>
      </w:r>
      <w:r w:rsidR="00EE48FD">
        <w:rPr>
          <w:rFonts w:cs="Calibri"/>
          <w:color w:val="000000"/>
          <w:sz w:val="22"/>
          <w:szCs w:val="22"/>
        </w:rPr>
        <w:t>,</w:t>
      </w:r>
      <w:r w:rsidRPr="00A93DDA">
        <w:rPr>
          <w:rFonts w:cs="Calibri"/>
          <w:color w:val="000000"/>
          <w:sz w:val="22"/>
          <w:szCs w:val="22"/>
        </w:rPr>
        <w:t xml:space="preserve"> it is ranked 30 out of 65 developed and emerging countries, between China and Puerto Rico or Slovakia and Latvia in Europe).</w:t>
      </w:r>
      <w:r w:rsidR="00EA4652">
        <w:rPr>
          <w:rStyle w:val="FootnoteReference"/>
          <w:rFonts w:cs="Calibri"/>
          <w:color w:val="000000"/>
          <w:sz w:val="22"/>
          <w:szCs w:val="22"/>
        </w:rPr>
        <w:footnoteReference w:id="1"/>
      </w:r>
      <w:r w:rsidRPr="00A93DDA">
        <w:rPr>
          <w:rFonts w:cs="Calibri"/>
          <w:color w:val="000000"/>
          <w:sz w:val="22"/>
          <w:szCs w:val="22"/>
        </w:rPr>
        <w:t xml:space="preserve"> </w:t>
      </w:r>
    </w:p>
    <w:p w14:paraId="5CA53EC7" w14:textId="77777777" w:rsidR="00F9490C" w:rsidRPr="00A93DDA" w:rsidRDefault="00F9490C" w:rsidP="00C931CD">
      <w:pPr>
        <w:autoSpaceDE w:val="0"/>
        <w:autoSpaceDN w:val="0"/>
        <w:adjustRightInd w:val="0"/>
        <w:spacing w:line="240" w:lineRule="auto"/>
        <w:jc w:val="both"/>
        <w:rPr>
          <w:rFonts w:cs="Calibri"/>
          <w:color w:val="000000"/>
          <w:sz w:val="22"/>
          <w:szCs w:val="22"/>
        </w:rPr>
      </w:pPr>
    </w:p>
    <w:p w14:paraId="4A664709" w14:textId="77777777" w:rsidR="00F9490C" w:rsidRPr="00A93DDA" w:rsidRDefault="00F9490C" w:rsidP="00F9490C">
      <w:pPr>
        <w:pStyle w:val="Caption"/>
        <w:keepNext/>
        <w:jc w:val="both"/>
      </w:pPr>
      <w:r w:rsidRPr="00A93DDA">
        <w:t xml:space="preserve">Figure </w:t>
      </w:r>
      <w:r w:rsidRPr="00A93DDA">
        <w:fldChar w:fldCharType="begin"/>
      </w:r>
      <w:r w:rsidRPr="00A93DDA">
        <w:instrText xml:space="preserve"> SEQ Figure \* ARABIC </w:instrText>
      </w:r>
      <w:r w:rsidRPr="00A93DDA">
        <w:fldChar w:fldCharType="separate"/>
      </w:r>
      <w:r w:rsidRPr="00A93DDA">
        <w:rPr>
          <w:noProof/>
        </w:rPr>
        <w:t>4</w:t>
      </w:r>
      <w:r w:rsidRPr="00A93DDA">
        <w:fldChar w:fldCharType="end"/>
      </w:r>
      <w:r w:rsidRPr="00A93DDA">
        <w:t>: REDI-scores 125 EU NUTS1/2 regions</w:t>
      </w:r>
    </w:p>
    <w:p w14:paraId="50C00FF1" w14:textId="77777777" w:rsidR="00F9490C" w:rsidRPr="00A93DDA" w:rsidRDefault="00F9490C" w:rsidP="00C931CD">
      <w:pPr>
        <w:autoSpaceDE w:val="0"/>
        <w:autoSpaceDN w:val="0"/>
        <w:adjustRightInd w:val="0"/>
        <w:spacing w:line="240" w:lineRule="auto"/>
        <w:jc w:val="both"/>
        <w:rPr>
          <w:rFonts w:cs="Calibri"/>
          <w:color w:val="000000"/>
          <w:sz w:val="22"/>
          <w:szCs w:val="22"/>
        </w:rPr>
      </w:pPr>
      <w:r w:rsidRPr="00A93DDA">
        <w:rPr>
          <w:rFonts w:cs="Calibri"/>
          <w:noProof/>
          <w:color w:val="000000"/>
          <w:sz w:val="22"/>
          <w:szCs w:val="22"/>
          <w:lang w:val="en-US" w:eastAsia="en-US"/>
        </w:rPr>
        <w:drawing>
          <wp:inline distT="0" distB="0" distL="0" distR="0" wp14:anchorId="26F004C3" wp14:editId="60F36FE6">
            <wp:extent cx="2653665" cy="2593340"/>
            <wp:effectExtent l="25400" t="25400" r="26035"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2-21 at 15.04.55.png"/>
                    <pic:cNvPicPr/>
                  </pic:nvPicPr>
                  <pic:blipFill>
                    <a:blip r:embed="rId25"/>
                    <a:stretch>
                      <a:fillRect/>
                    </a:stretch>
                  </pic:blipFill>
                  <pic:spPr>
                    <a:xfrm>
                      <a:off x="0" y="0"/>
                      <a:ext cx="2653665" cy="2593340"/>
                    </a:xfrm>
                    <a:prstGeom prst="rect">
                      <a:avLst/>
                    </a:prstGeom>
                    <a:ln w="25400">
                      <a:solidFill>
                        <a:schemeClr val="tx1"/>
                      </a:solidFill>
                    </a:ln>
                  </pic:spPr>
                </pic:pic>
              </a:graphicData>
            </a:graphic>
          </wp:inline>
        </w:drawing>
      </w:r>
    </w:p>
    <w:p w14:paraId="73306B10" w14:textId="0244A4D4" w:rsidR="00E508FE" w:rsidRPr="00A93DDA" w:rsidRDefault="008E37B6" w:rsidP="00C931CD">
      <w:pPr>
        <w:autoSpaceDE w:val="0"/>
        <w:autoSpaceDN w:val="0"/>
        <w:adjustRightInd w:val="0"/>
        <w:spacing w:line="240" w:lineRule="auto"/>
        <w:jc w:val="both"/>
        <w:rPr>
          <w:rFonts w:cs="Calibri"/>
          <w:color w:val="000000"/>
          <w:sz w:val="22"/>
          <w:szCs w:val="22"/>
        </w:rPr>
      </w:pPr>
      <w:r>
        <w:rPr>
          <w:rFonts w:cs="Calibri"/>
          <w:color w:val="000000"/>
          <w:sz w:val="22"/>
          <w:szCs w:val="22"/>
        </w:rPr>
        <w:t>Figure 4</w:t>
      </w:r>
      <w:r w:rsidR="00E508FE" w:rsidRPr="00A93DDA">
        <w:rPr>
          <w:rFonts w:cs="Calibri"/>
          <w:color w:val="000000"/>
          <w:sz w:val="22"/>
          <w:szCs w:val="22"/>
        </w:rPr>
        <w:t xml:space="preserve"> shows how the Italian regions compare to </w:t>
      </w:r>
      <w:r w:rsidR="00F9490C" w:rsidRPr="00A93DDA">
        <w:rPr>
          <w:rFonts w:cs="Calibri"/>
          <w:color w:val="000000"/>
          <w:sz w:val="22"/>
          <w:szCs w:val="22"/>
        </w:rPr>
        <w:t xml:space="preserve">regions in </w:t>
      </w:r>
      <w:r w:rsidR="00E508FE" w:rsidRPr="00A93DDA">
        <w:rPr>
          <w:rFonts w:cs="Calibri"/>
          <w:color w:val="000000"/>
          <w:sz w:val="22"/>
          <w:szCs w:val="22"/>
        </w:rPr>
        <w:t>the rest of Europe</w:t>
      </w:r>
      <w:r w:rsidR="00E508FE" w:rsidRPr="00213A98">
        <w:rPr>
          <w:rFonts w:cs="Calibri"/>
          <w:color w:val="404040" w:themeColor="text1" w:themeTint="BF"/>
          <w:sz w:val="22"/>
          <w:szCs w:val="22"/>
        </w:rPr>
        <w:t>.</w:t>
      </w:r>
      <w:r w:rsidR="00EE48FD" w:rsidRPr="00213A98">
        <w:rPr>
          <w:rFonts w:cs="Calibri"/>
          <w:color w:val="404040" w:themeColor="text1" w:themeTint="BF"/>
          <w:sz w:val="22"/>
          <w:szCs w:val="22"/>
        </w:rPr>
        <w:t xml:space="preserve"> </w:t>
      </w:r>
      <w:r w:rsidR="00EE48FD" w:rsidRPr="00213A98">
        <w:rPr>
          <w:rFonts w:cs="Calibri"/>
          <w:color w:val="000000" w:themeColor="text1"/>
          <w:sz w:val="22"/>
          <w:szCs w:val="22"/>
        </w:rPr>
        <w:t xml:space="preserve">By looking at </w:t>
      </w:r>
      <w:r w:rsidRPr="00213A98">
        <w:rPr>
          <w:rFonts w:cs="Calibri"/>
          <w:color w:val="000000" w:themeColor="text1"/>
          <w:sz w:val="22"/>
          <w:szCs w:val="22"/>
        </w:rPr>
        <w:t>these numbers</w:t>
      </w:r>
      <w:r w:rsidR="00EE48FD" w:rsidRPr="00213A98">
        <w:rPr>
          <w:rFonts w:cs="Calibri"/>
          <w:color w:val="000000" w:themeColor="text1"/>
          <w:sz w:val="22"/>
          <w:szCs w:val="22"/>
        </w:rPr>
        <w:t>,</w:t>
      </w:r>
      <w:r w:rsidR="00E508FE" w:rsidRPr="00213A98">
        <w:rPr>
          <w:rFonts w:cs="Calibri"/>
          <w:color w:val="000000" w:themeColor="text1"/>
          <w:sz w:val="22"/>
          <w:szCs w:val="22"/>
        </w:rPr>
        <w:t xml:space="preserve"> </w:t>
      </w:r>
      <w:r w:rsidR="00EE48FD" w:rsidRPr="00213A98">
        <w:rPr>
          <w:rFonts w:cs="Calibri"/>
          <w:color w:val="000000" w:themeColor="text1"/>
          <w:sz w:val="22"/>
          <w:szCs w:val="22"/>
        </w:rPr>
        <w:t>i</w:t>
      </w:r>
      <w:r w:rsidR="00F9490C" w:rsidRPr="00213A98">
        <w:rPr>
          <w:rFonts w:cs="Calibri"/>
          <w:color w:val="000000" w:themeColor="text1"/>
          <w:sz w:val="22"/>
          <w:szCs w:val="22"/>
        </w:rPr>
        <w:t xml:space="preserve">t is clear that reforms to strengthen the Italian </w:t>
      </w:r>
      <w:r w:rsidR="00F9490C" w:rsidRPr="00213A98">
        <w:rPr>
          <w:rFonts w:cs="Calibri"/>
          <w:color w:val="000000" w:themeColor="text1"/>
          <w:sz w:val="22"/>
          <w:szCs w:val="22"/>
        </w:rPr>
        <w:lastRenderedPageBreak/>
        <w:t>entrepreneurial ecosystem are both u</w:t>
      </w:r>
      <w:r w:rsidR="00F9490C" w:rsidRPr="00A93DDA">
        <w:rPr>
          <w:rFonts w:cs="Calibri"/>
          <w:color w:val="000000"/>
          <w:sz w:val="22"/>
          <w:szCs w:val="22"/>
        </w:rPr>
        <w:t xml:space="preserve">rgent and desirable. </w:t>
      </w:r>
    </w:p>
    <w:p w14:paraId="23882ED7" w14:textId="77777777" w:rsidR="009A5DF8" w:rsidRPr="00A93DDA" w:rsidRDefault="009A5DF8" w:rsidP="00C931CD">
      <w:pPr>
        <w:autoSpaceDE w:val="0"/>
        <w:autoSpaceDN w:val="0"/>
        <w:adjustRightInd w:val="0"/>
        <w:spacing w:line="240" w:lineRule="auto"/>
        <w:jc w:val="both"/>
        <w:rPr>
          <w:rFonts w:cs="Calibri"/>
          <w:color w:val="000000"/>
          <w:sz w:val="22"/>
          <w:szCs w:val="22"/>
        </w:rPr>
      </w:pPr>
    </w:p>
    <w:p w14:paraId="3A79A27B" w14:textId="77777777" w:rsidR="00EF045B" w:rsidRPr="00A93DDA" w:rsidRDefault="00EF045B" w:rsidP="00C931CD">
      <w:pPr>
        <w:autoSpaceDE w:val="0"/>
        <w:autoSpaceDN w:val="0"/>
        <w:adjustRightInd w:val="0"/>
        <w:spacing w:line="240" w:lineRule="auto"/>
        <w:jc w:val="both"/>
        <w:rPr>
          <w:rFonts w:cs="Calibri"/>
          <w:color w:val="000000"/>
          <w:sz w:val="22"/>
          <w:szCs w:val="22"/>
        </w:rPr>
      </w:pPr>
    </w:p>
    <w:p w14:paraId="675B213F" w14:textId="77777777" w:rsidR="009A5DF8" w:rsidRPr="00A93DDA" w:rsidRDefault="009A5DF8" w:rsidP="00EF045B">
      <w:pPr>
        <w:pStyle w:val="Caption"/>
        <w:keepNext/>
        <w:jc w:val="both"/>
        <w:rPr>
          <w:sz w:val="20"/>
        </w:rPr>
        <w:sectPr w:rsidR="009A5DF8" w:rsidRPr="00A93DDA" w:rsidSect="00CF1E7E">
          <w:type w:val="continuous"/>
          <w:pgSz w:w="11900" w:h="16840"/>
          <w:pgMar w:top="1680" w:right="1417" w:bottom="1417" w:left="1417" w:header="426" w:footer="596" w:gutter="0"/>
          <w:cols w:num="2" w:space="708"/>
          <w:titlePg/>
          <w:docGrid w:linePitch="360"/>
        </w:sectPr>
      </w:pPr>
    </w:p>
    <w:p w14:paraId="2E17628D" w14:textId="77777777" w:rsidR="0077510F" w:rsidRPr="00A93DDA" w:rsidRDefault="0077510F" w:rsidP="0077510F">
      <w:pPr>
        <w:pStyle w:val="Caption"/>
        <w:keepNext/>
      </w:pPr>
      <w:r w:rsidRPr="00A93DDA">
        <w:t xml:space="preserve">Table </w:t>
      </w:r>
      <w:r w:rsidRPr="00A93DDA">
        <w:fldChar w:fldCharType="begin"/>
      </w:r>
      <w:r w:rsidRPr="00A93DDA">
        <w:instrText xml:space="preserve"> SEQ Table \* ARABIC </w:instrText>
      </w:r>
      <w:r w:rsidRPr="00A93DDA">
        <w:fldChar w:fldCharType="separate"/>
      </w:r>
      <w:r w:rsidR="00C1320F">
        <w:rPr>
          <w:noProof/>
        </w:rPr>
        <w:t>1</w:t>
      </w:r>
      <w:r w:rsidRPr="00A93DDA">
        <w:fldChar w:fldCharType="end"/>
      </w:r>
      <w:r w:rsidRPr="00A93DDA">
        <w:t>: REDI Report Card Centro</w:t>
      </w:r>
    </w:p>
    <w:tbl>
      <w:tblPr>
        <w:tblStyle w:val="GridTable4-Accent6"/>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2334"/>
        <w:gridCol w:w="717"/>
        <w:gridCol w:w="1864"/>
        <w:gridCol w:w="746"/>
        <w:gridCol w:w="2132"/>
        <w:gridCol w:w="717"/>
      </w:tblGrid>
      <w:tr w:rsidR="00EF045B" w:rsidRPr="00A93DDA" w14:paraId="16C72C07" w14:textId="77777777" w:rsidTr="00C1320F">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12" w:type="dxa"/>
            <w:vMerge w:val="restart"/>
            <w:tcBorders>
              <w:top w:val="nil"/>
              <w:left w:val="nil"/>
              <w:bottom w:val="none" w:sz="0" w:space="0" w:color="auto"/>
            </w:tcBorders>
            <w:shd w:val="clear" w:color="auto" w:fill="002060"/>
            <w:noWrap/>
            <w:hideMark/>
          </w:tcPr>
          <w:p w14:paraId="522C8DF1" w14:textId="77777777" w:rsidR="00EF045B" w:rsidRPr="00A93DDA" w:rsidRDefault="00EF045B" w:rsidP="00A93DDA">
            <w:pPr>
              <w:jc w:val="both"/>
              <w:rPr>
                <w:rFonts w:eastAsia="Times New Roman" w:cstheme="minorHAnsi"/>
                <w:sz w:val="20"/>
                <w:szCs w:val="20"/>
                <w:lang w:eastAsia="hu-HU"/>
              </w:rPr>
            </w:pPr>
            <w:r w:rsidRPr="00A93DDA">
              <w:rPr>
                <w:rFonts w:eastAsia="Times New Roman" w:cstheme="minorHAnsi"/>
                <w:sz w:val="20"/>
                <w:szCs w:val="20"/>
                <w:lang w:eastAsia="hu-HU"/>
              </w:rPr>
              <w:t> </w:t>
            </w:r>
          </w:p>
        </w:tc>
        <w:tc>
          <w:tcPr>
            <w:tcW w:w="3051" w:type="dxa"/>
            <w:gridSpan w:val="2"/>
            <w:vMerge w:val="restart"/>
            <w:tcBorders>
              <w:top w:val="nil"/>
              <w:bottom w:val="none" w:sz="0" w:space="0" w:color="auto"/>
            </w:tcBorders>
            <w:shd w:val="clear" w:color="auto" w:fill="002060"/>
            <w:noWrap/>
            <w:hideMark/>
          </w:tcPr>
          <w:p w14:paraId="124E44C6" w14:textId="77777777" w:rsidR="00EF045B" w:rsidRPr="00A93DDA" w:rsidRDefault="00EF045B" w:rsidP="00A93DDA">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p>
          <w:p w14:paraId="5FB11AD2" w14:textId="77777777" w:rsidR="00EF045B" w:rsidRPr="00A93DDA" w:rsidRDefault="00EF045B" w:rsidP="00A93DDA">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hu-HU"/>
              </w:rPr>
            </w:pPr>
            <w:r w:rsidRPr="00A93DDA">
              <w:rPr>
                <w:rFonts w:eastAsia="Times New Roman" w:cstheme="minorHAnsi"/>
                <w:sz w:val="20"/>
                <w:szCs w:val="20"/>
                <w:lang w:eastAsia="hu-HU"/>
              </w:rPr>
              <w:t>PILLARS</w:t>
            </w:r>
          </w:p>
        </w:tc>
        <w:tc>
          <w:tcPr>
            <w:tcW w:w="2610" w:type="dxa"/>
            <w:gridSpan w:val="2"/>
            <w:vMerge w:val="restart"/>
            <w:tcBorders>
              <w:top w:val="nil"/>
              <w:bottom w:val="none" w:sz="0" w:space="0" w:color="auto"/>
            </w:tcBorders>
            <w:shd w:val="clear" w:color="auto" w:fill="002060"/>
            <w:noWrap/>
            <w:hideMark/>
          </w:tcPr>
          <w:p w14:paraId="285EE1A7" w14:textId="77777777" w:rsidR="00EF045B" w:rsidRPr="00A93DDA" w:rsidRDefault="00EF045B" w:rsidP="00A93DDA">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p>
          <w:p w14:paraId="5B0384B4" w14:textId="77777777" w:rsidR="00EF045B" w:rsidRPr="00A93DDA" w:rsidRDefault="00EF045B" w:rsidP="00A93DDA">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hu-HU"/>
              </w:rPr>
            </w:pPr>
            <w:r w:rsidRPr="00A93DDA">
              <w:rPr>
                <w:rFonts w:eastAsia="Times New Roman" w:cstheme="minorHAnsi"/>
                <w:sz w:val="20"/>
                <w:szCs w:val="20"/>
                <w:lang w:eastAsia="hu-HU"/>
              </w:rPr>
              <w:t>INSTITUTIONAL VARIABLES</w:t>
            </w:r>
          </w:p>
        </w:tc>
        <w:tc>
          <w:tcPr>
            <w:tcW w:w="2849" w:type="dxa"/>
            <w:gridSpan w:val="2"/>
            <w:vMerge w:val="restart"/>
            <w:tcBorders>
              <w:top w:val="nil"/>
              <w:bottom w:val="none" w:sz="0" w:space="0" w:color="auto"/>
              <w:right w:val="nil"/>
            </w:tcBorders>
            <w:shd w:val="clear" w:color="auto" w:fill="002060"/>
            <w:noWrap/>
            <w:hideMark/>
          </w:tcPr>
          <w:p w14:paraId="3106E0B5" w14:textId="77777777" w:rsidR="00EF045B" w:rsidRPr="00A93DDA" w:rsidRDefault="00EF045B" w:rsidP="00A93DDA">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p>
          <w:p w14:paraId="6FE74822" w14:textId="77777777" w:rsidR="00EF045B" w:rsidRPr="00A93DDA" w:rsidRDefault="00EF045B" w:rsidP="00A93DDA">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hu-HU"/>
              </w:rPr>
            </w:pPr>
            <w:r w:rsidRPr="00A93DDA">
              <w:rPr>
                <w:rFonts w:eastAsia="Times New Roman" w:cstheme="minorHAnsi"/>
                <w:sz w:val="20"/>
                <w:szCs w:val="20"/>
                <w:lang w:eastAsia="hu-HU"/>
              </w:rPr>
              <w:t>INDIVIDUAL VARIABLES</w:t>
            </w:r>
          </w:p>
        </w:tc>
      </w:tr>
      <w:tr w:rsidR="00EF045B" w:rsidRPr="00A93DDA" w14:paraId="3EEC3B78" w14:textId="77777777" w:rsidTr="00C1320F">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712" w:type="dxa"/>
            <w:vMerge/>
            <w:tcBorders>
              <w:top w:val="nil"/>
              <w:left w:val="nil"/>
              <w:bottom w:val="nil"/>
              <w:right w:val="nil"/>
            </w:tcBorders>
            <w:shd w:val="clear" w:color="auto" w:fill="002060"/>
            <w:hideMark/>
          </w:tcPr>
          <w:p w14:paraId="71F0BCC4" w14:textId="77777777" w:rsidR="00EF045B" w:rsidRPr="00A93DDA" w:rsidRDefault="00EF045B" w:rsidP="00A93DDA">
            <w:pPr>
              <w:jc w:val="both"/>
              <w:rPr>
                <w:rFonts w:eastAsia="Times New Roman" w:cstheme="minorHAnsi"/>
                <w:sz w:val="20"/>
                <w:szCs w:val="20"/>
                <w:lang w:eastAsia="hu-HU"/>
              </w:rPr>
            </w:pPr>
          </w:p>
        </w:tc>
        <w:tc>
          <w:tcPr>
            <w:tcW w:w="3051" w:type="dxa"/>
            <w:gridSpan w:val="2"/>
            <w:vMerge/>
            <w:tcBorders>
              <w:top w:val="nil"/>
              <w:left w:val="nil"/>
              <w:right w:val="nil"/>
            </w:tcBorders>
            <w:shd w:val="clear" w:color="auto" w:fill="002060"/>
            <w:hideMark/>
          </w:tcPr>
          <w:p w14:paraId="3B869C32"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hu-HU"/>
              </w:rPr>
            </w:pPr>
          </w:p>
        </w:tc>
        <w:tc>
          <w:tcPr>
            <w:tcW w:w="2610" w:type="dxa"/>
            <w:gridSpan w:val="2"/>
            <w:vMerge/>
            <w:tcBorders>
              <w:top w:val="nil"/>
              <w:left w:val="nil"/>
              <w:right w:val="nil"/>
            </w:tcBorders>
            <w:shd w:val="clear" w:color="auto" w:fill="002060"/>
            <w:hideMark/>
          </w:tcPr>
          <w:p w14:paraId="362300B5"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hu-HU"/>
              </w:rPr>
            </w:pPr>
          </w:p>
        </w:tc>
        <w:tc>
          <w:tcPr>
            <w:tcW w:w="2849" w:type="dxa"/>
            <w:gridSpan w:val="2"/>
            <w:vMerge/>
            <w:tcBorders>
              <w:top w:val="nil"/>
              <w:left w:val="nil"/>
              <w:right w:val="nil"/>
            </w:tcBorders>
            <w:shd w:val="clear" w:color="auto" w:fill="002060"/>
            <w:hideMark/>
          </w:tcPr>
          <w:p w14:paraId="77DEF1B9"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lang w:eastAsia="hu-HU"/>
              </w:rPr>
            </w:pPr>
          </w:p>
        </w:tc>
      </w:tr>
      <w:tr w:rsidR="00EF045B" w:rsidRPr="00A93DDA" w14:paraId="0C905656" w14:textId="77777777" w:rsidTr="0077510F">
        <w:trPr>
          <w:trHeight w:val="254"/>
        </w:trPr>
        <w:tc>
          <w:tcPr>
            <w:cnfStyle w:val="001000000000" w:firstRow="0" w:lastRow="0" w:firstColumn="1" w:lastColumn="0" w:oddVBand="0" w:evenVBand="0" w:oddHBand="0" w:evenHBand="0" w:firstRowFirstColumn="0" w:firstRowLastColumn="0" w:lastRowFirstColumn="0" w:lastRowLastColumn="0"/>
            <w:tcW w:w="712" w:type="dxa"/>
            <w:vMerge w:val="restart"/>
            <w:tcBorders>
              <w:top w:val="nil"/>
              <w:left w:val="nil"/>
              <w:bottom w:val="nil"/>
              <w:right w:val="nil"/>
            </w:tcBorders>
            <w:shd w:val="clear" w:color="auto" w:fill="FFC000"/>
            <w:textDirection w:val="btLr"/>
            <w:hideMark/>
          </w:tcPr>
          <w:p w14:paraId="07B24EC7" w14:textId="77777777" w:rsidR="00EF045B" w:rsidRPr="00A93DDA" w:rsidRDefault="00EF045B" w:rsidP="009A5DF8">
            <w:pPr>
              <w:jc w:val="center"/>
              <w:rPr>
                <w:rFonts w:eastAsia="Times New Roman" w:cstheme="minorHAnsi"/>
                <w:color w:val="FFFFFF" w:themeColor="background1"/>
                <w:sz w:val="20"/>
                <w:szCs w:val="20"/>
                <w:lang w:eastAsia="hu-HU"/>
              </w:rPr>
            </w:pPr>
            <w:r w:rsidRPr="00A93DDA">
              <w:rPr>
                <w:rFonts w:eastAsia="Times New Roman" w:cstheme="minorHAnsi"/>
                <w:color w:val="FFFFFF" w:themeColor="background1"/>
                <w:sz w:val="20"/>
                <w:szCs w:val="20"/>
                <w:lang w:eastAsia="hu-HU"/>
              </w:rPr>
              <w:t>Entrepreneurial</w:t>
            </w:r>
          </w:p>
          <w:p w14:paraId="5E84D626" w14:textId="77777777" w:rsidR="00EF045B" w:rsidRPr="00A93DDA" w:rsidRDefault="00EF045B" w:rsidP="009A5DF8">
            <w:pPr>
              <w:jc w:val="center"/>
              <w:rPr>
                <w:rFonts w:eastAsia="Times New Roman" w:cstheme="minorHAnsi"/>
                <w:b w:val="0"/>
                <w:bCs w:val="0"/>
                <w:color w:val="FFFFFF" w:themeColor="background1"/>
                <w:sz w:val="20"/>
                <w:szCs w:val="20"/>
                <w:lang w:eastAsia="hu-HU"/>
              </w:rPr>
            </w:pPr>
            <w:r w:rsidRPr="00A93DDA">
              <w:rPr>
                <w:rFonts w:eastAsia="Times New Roman" w:cstheme="minorHAnsi"/>
                <w:color w:val="FFFFFF" w:themeColor="background1"/>
                <w:sz w:val="20"/>
                <w:szCs w:val="20"/>
                <w:lang w:eastAsia="hu-HU"/>
              </w:rPr>
              <w:t>Attitudes</w:t>
            </w:r>
          </w:p>
        </w:tc>
        <w:tc>
          <w:tcPr>
            <w:tcW w:w="2334" w:type="dxa"/>
            <w:tcBorders>
              <w:left w:val="nil"/>
            </w:tcBorders>
            <w:shd w:val="clear" w:color="auto" w:fill="FFFFFF" w:themeFill="background1"/>
            <w:noWrap/>
            <w:hideMark/>
          </w:tcPr>
          <w:p w14:paraId="29184FF0"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Opportunity perception</w:t>
            </w:r>
          </w:p>
        </w:tc>
        <w:tc>
          <w:tcPr>
            <w:tcW w:w="717" w:type="dxa"/>
            <w:shd w:val="clear" w:color="auto" w:fill="FFFFFF" w:themeFill="background1"/>
            <w:noWrap/>
            <w:hideMark/>
          </w:tcPr>
          <w:p w14:paraId="24BF85C0"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0.34</w:t>
            </w:r>
          </w:p>
        </w:tc>
        <w:tc>
          <w:tcPr>
            <w:tcW w:w="1864" w:type="dxa"/>
            <w:shd w:val="clear" w:color="auto" w:fill="FFFFFF" w:themeFill="background1"/>
            <w:noWrap/>
            <w:hideMark/>
          </w:tcPr>
          <w:p w14:paraId="627AEF3D"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Market Agglomeration</w:t>
            </w:r>
          </w:p>
        </w:tc>
        <w:tc>
          <w:tcPr>
            <w:tcW w:w="746" w:type="dxa"/>
            <w:shd w:val="clear" w:color="auto" w:fill="FFFFFF" w:themeFill="background1"/>
            <w:noWrap/>
            <w:hideMark/>
          </w:tcPr>
          <w:p w14:paraId="2138E4DB"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0.46</w:t>
            </w:r>
          </w:p>
        </w:tc>
        <w:tc>
          <w:tcPr>
            <w:tcW w:w="2132" w:type="dxa"/>
            <w:shd w:val="clear" w:color="auto" w:fill="FFFFFF" w:themeFill="background1"/>
            <w:noWrap/>
            <w:hideMark/>
          </w:tcPr>
          <w:p w14:paraId="1EB07C67"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Opportunity Recognition</w:t>
            </w:r>
          </w:p>
        </w:tc>
        <w:tc>
          <w:tcPr>
            <w:tcW w:w="717" w:type="dxa"/>
            <w:shd w:val="clear" w:color="auto" w:fill="FFFFFF" w:themeFill="background1"/>
            <w:noWrap/>
            <w:hideMark/>
          </w:tcPr>
          <w:p w14:paraId="73A142E6"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0.57</w:t>
            </w:r>
          </w:p>
        </w:tc>
      </w:tr>
      <w:tr w:rsidR="00EF045B" w:rsidRPr="00A93DDA" w14:paraId="3C27C2C2" w14:textId="77777777" w:rsidTr="0077510F">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712" w:type="dxa"/>
            <w:vMerge/>
            <w:tcBorders>
              <w:top w:val="nil"/>
              <w:left w:val="nil"/>
              <w:bottom w:val="nil"/>
              <w:right w:val="nil"/>
            </w:tcBorders>
            <w:shd w:val="clear" w:color="auto" w:fill="FFC000"/>
            <w:hideMark/>
          </w:tcPr>
          <w:p w14:paraId="184CE08F" w14:textId="77777777" w:rsidR="00EF045B" w:rsidRPr="00A93DDA" w:rsidRDefault="00EF045B" w:rsidP="009A5DF8">
            <w:pPr>
              <w:jc w:val="center"/>
              <w:rPr>
                <w:rFonts w:eastAsia="Times New Roman" w:cstheme="minorHAnsi"/>
                <w:b w:val="0"/>
                <w:bCs w:val="0"/>
                <w:color w:val="FFFFFF" w:themeColor="background1"/>
                <w:sz w:val="20"/>
                <w:szCs w:val="20"/>
                <w:lang w:eastAsia="hu-HU"/>
              </w:rPr>
            </w:pPr>
          </w:p>
        </w:tc>
        <w:tc>
          <w:tcPr>
            <w:tcW w:w="2334" w:type="dxa"/>
            <w:tcBorders>
              <w:left w:val="nil"/>
            </w:tcBorders>
            <w:shd w:val="clear" w:color="auto" w:fill="FFFFFF" w:themeFill="background1"/>
            <w:noWrap/>
            <w:hideMark/>
          </w:tcPr>
          <w:p w14:paraId="584F9415"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Start-up skills</w:t>
            </w:r>
          </w:p>
        </w:tc>
        <w:tc>
          <w:tcPr>
            <w:tcW w:w="717" w:type="dxa"/>
            <w:shd w:val="clear" w:color="auto" w:fill="FFFFFF" w:themeFill="background1"/>
            <w:noWrap/>
            <w:hideMark/>
          </w:tcPr>
          <w:p w14:paraId="7FF0C410"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0.31</w:t>
            </w:r>
          </w:p>
        </w:tc>
        <w:tc>
          <w:tcPr>
            <w:tcW w:w="1864" w:type="dxa"/>
            <w:shd w:val="clear" w:color="auto" w:fill="FFFFFF" w:themeFill="background1"/>
            <w:noWrap/>
            <w:hideMark/>
          </w:tcPr>
          <w:p w14:paraId="529EA33B"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Quality of Education</w:t>
            </w:r>
          </w:p>
        </w:tc>
        <w:tc>
          <w:tcPr>
            <w:tcW w:w="746" w:type="dxa"/>
            <w:shd w:val="clear" w:color="auto" w:fill="FFFFFF" w:themeFill="background1"/>
            <w:noWrap/>
            <w:hideMark/>
          </w:tcPr>
          <w:p w14:paraId="2AE8ED5F"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0.65</w:t>
            </w:r>
          </w:p>
        </w:tc>
        <w:tc>
          <w:tcPr>
            <w:tcW w:w="2132" w:type="dxa"/>
            <w:shd w:val="clear" w:color="auto" w:fill="FFFFFF" w:themeFill="background1"/>
            <w:noWrap/>
            <w:hideMark/>
          </w:tcPr>
          <w:p w14:paraId="44E70E4F"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Skill Perception</w:t>
            </w:r>
          </w:p>
        </w:tc>
        <w:tc>
          <w:tcPr>
            <w:tcW w:w="717" w:type="dxa"/>
            <w:shd w:val="clear" w:color="auto" w:fill="FFFFFF" w:themeFill="background1"/>
            <w:noWrap/>
            <w:hideMark/>
          </w:tcPr>
          <w:p w14:paraId="6F1CBA66"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0.34</w:t>
            </w:r>
          </w:p>
        </w:tc>
      </w:tr>
      <w:tr w:rsidR="00EF045B" w:rsidRPr="00A93DDA" w14:paraId="71E7FF4A" w14:textId="77777777" w:rsidTr="0077510F">
        <w:trPr>
          <w:trHeight w:val="259"/>
        </w:trPr>
        <w:tc>
          <w:tcPr>
            <w:cnfStyle w:val="001000000000" w:firstRow="0" w:lastRow="0" w:firstColumn="1" w:lastColumn="0" w:oddVBand="0" w:evenVBand="0" w:oddHBand="0" w:evenHBand="0" w:firstRowFirstColumn="0" w:firstRowLastColumn="0" w:lastRowFirstColumn="0" w:lastRowLastColumn="0"/>
            <w:tcW w:w="712" w:type="dxa"/>
            <w:vMerge/>
            <w:tcBorders>
              <w:top w:val="nil"/>
              <w:left w:val="nil"/>
              <w:bottom w:val="nil"/>
              <w:right w:val="nil"/>
            </w:tcBorders>
            <w:shd w:val="clear" w:color="auto" w:fill="FFC000"/>
            <w:hideMark/>
          </w:tcPr>
          <w:p w14:paraId="5C674EF0" w14:textId="77777777" w:rsidR="00EF045B" w:rsidRPr="00A93DDA" w:rsidRDefault="00EF045B" w:rsidP="009A5DF8">
            <w:pPr>
              <w:jc w:val="center"/>
              <w:rPr>
                <w:rFonts w:eastAsia="Times New Roman" w:cstheme="minorHAnsi"/>
                <w:b w:val="0"/>
                <w:bCs w:val="0"/>
                <w:color w:val="FFFFFF" w:themeColor="background1"/>
                <w:sz w:val="20"/>
                <w:szCs w:val="20"/>
                <w:lang w:eastAsia="hu-HU"/>
              </w:rPr>
            </w:pPr>
          </w:p>
        </w:tc>
        <w:tc>
          <w:tcPr>
            <w:tcW w:w="2334" w:type="dxa"/>
            <w:tcBorders>
              <w:left w:val="nil"/>
            </w:tcBorders>
            <w:shd w:val="clear" w:color="auto" w:fill="FFFFFF" w:themeFill="background1"/>
            <w:noWrap/>
            <w:hideMark/>
          </w:tcPr>
          <w:p w14:paraId="024C2B74"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Risk Acceptance</w:t>
            </w:r>
          </w:p>
        </w:tc>
        <w:tc>
          <w:tcPr>
            <w:tcW w:w="717" w:type="dxa"/>
            <w:shd w:val="clear" w:color="auto" w:fill="FFFFFF" w:themeFill="background1"/>
            <w:noWrap/>
            <w:hideMark/>
          </w:tcPr>
          <w:p w14:paraId="3F2BA196"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0.39</w:t>
            </w:r>
          </w:p>
        </w:tc>
        <w:tc>
          <w:tcPr>
            <w:tcW w:w="1864" w:type="dxa"/>
            <w:shd w:val="clear" w:color="auto" w:fill="FFFFFF" w:themeFill="background1"/>
            <w:noWrap/>
            <w:hideMark/>
          </w:tcPr>
          <w:p w14:paraId="07E2C3ED"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Business Risk</w:t>
            </w:r>
          </w:p>
        </w:tc>
        <w:tc>
          <w:tcPr>
            <w:tcW w:w="746" w:type="dxa"/>
            <w:shd w:val="clear" w:color="auto" w:fill="FFFFFF" w:themeFill="background1"/>
            <w:noWrap/>
            <w:hideMark/>
          </w:tcPr>
          <w:p w14:paraId="218309B5"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0.69</w:t>
            </w:r>
          </w:p>
        </w:tc>
        <w:tc>
          <w:tcPr>
            <w:tcW w:w="2132" w:type="dxa"/>
            <w:shd w:val="clear" w:color="auto" w:fill="FFFFFF" w:themeFill="background1"/>
            <w:noWrap/>
            <w:hideMark/>
          </w:tcPr>
          <w:p w14:paraId="3B18177B"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Risk Perception</w:t>
            </w:r>
          </w:p>
        </w:tc>
        <w:tc>
          <w:tcPr>
            <w:tcW w:w="717" w:type="dxa"/>
            <w:shd w:val="clear" w:color="auto" w:fill="FFFFFF" w:themeFill="background1"/>
            <w:noWrap/>
            <w:hideMark/>
          </w:tcPr>
          <w:p w14:paraId="2649A267"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0.37</w:t>
            </w:r>
          </w:p>
        </w:tc>
      </w:tr>
      <w:tr w:rsidR="00EF045B" w:rsidRPr="00A93DDA" w14:paraId="45BC5C8F" w14:textId="77777777" w:rsidTr="0077510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12" w:type="dxa"/>
            <w:vMerge/>
            <w:tcBorders>
              <w:top w:val="nil"/>
              <w:left w:val="nil"/>
              <w:bottom w:val="nil"/>
              <w:right w:val="nil"/>
            </w:tcBorders>
            <w:shd w:val="clear" w:color="auto" w:fill="FFC000"/>
            <w:hideMark/>
          </w:tcPr>
          <w:p w14:paraId="6C39AAB9" w14:textId="77777777" w:rsidR="00EF045B" w:rsidRPr="00A93DDA" w:rsidRDefault="00EF045B" w:rsidP="009A5DF8">
            <w:pPr>
              <w:jc w:val="center"/>
              <w:rPr>
                <w:rFonts w:eastAsia="Times New Roman" w:cstheme="minorHAnsi"/>
                <w:b w:val="0"/>
                <w:bCs w:val="0"/>
                <w:color w:val="FFFFFF" w:themeColor="background1"/>
                <w:sz w:val="20"/>
                <w:szCs w:val="20"/>
                <w:lang w:eastAsia="hu-HU"/>
              </w:rPr>
            </w:pPr>
          </w:p>
        </w:tc>
        <w:tc>
          <w:tcPr>
            <w:tcW w:w="2334" w:type="dxa"/>
            <w:tcBorders>
              <w:left w:val="nil"/>
            </w:tcBorders>
            <w:shd w:val="clear" w:color="auto" w:fill="FFFFFF" w:themeFill="background1"/>
            <w:noWrap/>
            <w:hideMark/>
          </w:tcPr>
          <w:p w14:paraId="7B576A53"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Networking</w:t>
            </w:r>
          </w:p>
        </w:tc>
        <w:tc>
          <w:tcPr>
            <w:tcW w:w="717" w:type="dxa"/>
            <w:shd w:val="clear" w:color="auto" w:fill="FF0000"/>
            <w:noWrap/>
            <w:hideMark/>
          </w:tcPr>
          <w:p w14:paraId="6396DA60"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0.25</w:t>
            </w:r>
          </w:p>
        </w:tc>
        <w:tc>
          <w:tcPr>
            <w:tcW w:w="1864" w:type="dxa"/>
            <w:shd w:val="clear" w:color="auto" w:fill="FFFFFF" w:themeFill="background1"/>
            <w:noWrap/>
            <w:hideMark/>
          </w:tcPr>
          <w:p w14:paraId="2D448831"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Social Capital</w:t>
            </w:r>
          </w:p>
        </w:tc>
        <w:tc>
          <w:tcPr>
            <w:tcW w:w="746" w:type="dxa"/>
            <w:shd w:val="clear" w:color="auto" w:fill="FFFFFF" w:themeFill="background1"/>
            <w:noWrap/>
            <w:hideMark/>
          </w:tcPr>
          <w:p w14:paraId="3929882F"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0.46</w:t>
            </w:r>
          </w:p>
        </w:tc>
        <w:tc>
          <w:tcPr>
            <w:tcW w:w="2132" w:type="dxa"/>
            <w:shd w:val="clear" w:color="auto" w:fill="FFFFFF" w:themeFill="background1"/>
            <w:noWrap/>
            <w:hideMark/>
          </w:tcPr>
          <w:p w14:paraId="095A3863"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Know Entrepreneurs</w:t>
            </w:r>
          </w:p>
        </w:tc>
        <w:tc>
          <w:tcPr>
            <w:tcW w:w="717" w:type="dxa"/>
            <w:shd w:val="clear" w:color="auto" w:fill="FFFFFF" w:themeFill="background1"/>
            <w:noWrap/>
            <w:hideMark/>
          </w:tcPr>
          <w:p w14:paraId="6531E21D"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0.37</w:t>
            </w:r>
          </w:p>
        </w:tc>
      </w:tr>
      <w:tr w:rsidR="00EF045B" w:rsidRPr="00A93DDA" w14:paraId="178D2298" w14:textId="77777777" w:rsidTr="0077510F">
        <w:trPr>
          <w:trHeight w:val="259"/>
        </w:trPr>
        <w:tc>
          <w:tcPr>
            <w:cnfStyle w:val="001000000000" w:firstRow="0" w:lastRow="0" w:firstColumn="1" w:lastColumn="0" w:oddVBand="0" w:evenVBand="0" w:oddHBand="0" w:evenHBand="0" w:firstRowFirstColumn="0" w:firstRowLastColumn="0" w:lastRowFirstColumn="0" w:lastRowLastColumn="0"/>
            <w:tcW w:w="712" w:type="dxa"/>
            <w:vMerge/>
            <w:tcBorders>
              <w:top w:val="nil"/>
              <w:left w:val="nil"/>
              <w:bottom w:val="nil"/>
              <w:right w:val="nil"/>
            </w:tcBorders>
            <w:shd w:val="clear" w:color="auto" w:fill="FFC000"/>
            <w:hideMark/>
          </w:tcPr>
          <w:p w14:paraId="6637B49C" w14:textId="77777777" w:rsidR="00EF045B" w:rsidRPr="00A93DDA" w:rsidRDefault="00EF045B" w:rsidP="009A5DF8">
            <w:pPr>
              <w:jc w:val="center"/>
              <w:rPr>
                <w:rFonts w:eastAsia="Times New Roman" w:cstheme="minorHAnsi"/>
                <w:b w:val="0"/>
                <w:bCs w:val="0"/>
                <w:color w:val="FFFFFF" w:themeColor="background1"/>
                <w:sz w:val="20"/>
                <w:szCs w:val="20"/>
                <w:lang w:eastAsia="hu-HU"/>
              </w:rPr>
            </w:pPr>
          </w:p>
        </w:tc>
        <w:tc>
          <w:tcPr>
            <w:tcW w:w="2334" w:type="dxa"/>
            <w:tcBorders>
              <w:left w:val="nil"/>
            </w:tcBorders>
            <w:shd w:val="clear" w:color="auto" w:fill="FFFFFF" w:themeFill="background1"/>
            <w:noWrap/>
            <w:hideMark/>
          </w:tcPr>
          <w:p w14:paraId="0218BCA3"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Cultural support</w:t>
            </w:r>
          </w:p>
        </w:tc>
        <w:tc>
          <w:tcPr>
            <w:tcW w:w="717" w:type="dxa"/>
            <w:shd w:val="clear" w:color="auto" w:fill="FF0000"/>
            <w:noWrap/>
            <w:hideMark/>
          </w:tcPr>
          <w:p w14:paraId="0A096547"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0.20</w:t>
            </w:r>
          </w:p>
        </w:tc>
        <w:tc>
          <w:tcPr>
            <w:tcW w:w="1864" w:type="dxa"/>
            <w:shd w:val="clear" w:color="auto" w:fill="FFFFFF" w:themeFill="background1"/>
            <w:noWrap/>
            <w:hideMark/>
          </w:tcPr>
          <w:p w14:paraId="257F00C8"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Open Society</w:t>
            </w:r>
          </w:p>
        </w:tc>
        <w:tc>
          <w:tcPr>
            <w:tcW w:w="746" w:type="dxa"/>
            <w:shd w:val="clear" w:color="auto" w:fill="FFFFFF" w:themeFill="background1"/>
            <w:noWrap/>
            <w:hideMark/>
          </w:tcPr>
          <w:p w14:paraId="144DB4AB"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0.35</w:t>
            </w:r>
          </w:p>
        </w:tc>
        <w:tc>
          <w:tcPr>
            <w:tcW w:w="2132" w:type="dxa"/>
            <w:shd w:val="clear" w:color="auto" w:fill="FFFFFF" w:themeFill="background1"/>
            <w:noWrap/>
            <w:hideMark/>
          </w:tcPr>
          <w:p w14:paraId="0418BB4F"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Career Status</w:t>
            </w:r>
          </w:p>
        </w:tc>
        <w:tc>
          <w:tcPr>
            <w:tcW w:w="717" w:type="dxa"/>
            <w:shd w:val="clear" w:color="auto" w:fill="FFFFFF" w:themeFill="background1"/>
            <w:noWrap/>
            <w:hideMark/>
          </w:tcPr>
          <w:p w14:paraId="43D683DA"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0.85</w:t>
            </w:r>
          </w:p>
        </w:tc>
      </w:tr>
      <w:tr w:rsidR="00EF045B" w:rsidRPr="00A93DDA" w14:paraId="28F96E77" w14:textId="77777777" w:rsidTr="0077510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12" w:type="dxa"/>
            <w:vMerge/>
            <w:tcBorders>
              <w:top w:val="nil"/>
              <w:left w:val="nil"/>
              <w:bottom w:val="nil"/>
              <w:right w:val="nil"/>
            </w:tcBorders>
            <w:shd w:val="clear" w:color="auto" w:fill="FFC000"/>
            <w:hideMark/>
          </w:tcPr>
          <w:p w14:paraId="1C74DBAA" w14:textId="77777777" w:rsidR="00EF045B" w:rsidRPr="00A93DDA" w:rsidRDefault="00EF045B" w:rsidP="009A5DF8">
            <w:pPr>
              <w:jc w:val="center"/>
              <w:rPr>
                <w:rFonts w:eastAsia="Times New Roman" w:cstheme="minorHAnsi"/>
                <w:b w:val="0"/>
                <w:bCs w:val="0"/>
                <w:color w:val="FFFFFF" w:themeColor="background1"/>
                <w:sz w:val="20"/>
                <w:szCs w:val="20"/>
                <w:lang w:eastAsia="hu-HU"/>
              </w:rPr>
            </w:pPr>
          </w:p>
        </w:tc>
        <w:tc>
          <w:tcPr>
            <w:tcW w:w="8510" w:type="dxa"/>
            <w:gridSpan w:val="6"/>
            <w:tcBorders>
              <w:left w:val="nil"/>
            </w:tcBorders>
            <w:shd w:val="clear" w:color="auto" w:fill="FFC000"/>
            <w:noWrap/>
            <w:hideMark/>
          </w:tcPr>
          <w:p w14:paraId="4A1BD64F" w14:textId="77777777" w:rsidR="00EF045B" w:rsidRPr="00C1320F" w:rsidRDefault="00EF045B" w:rsidP="00A93DD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sz w:val="24"/>
                <w:szCs w:val="24"/>
                <w:lang w:eastAsia="hu-HU"/>
              </w:rPr>
            </w:pPr>
            <w:r w:rsidRPr="00C1320F">
              <w:rPr>
                <w:rFonts w:eastAsia="Times New Roman" w:cstheme="minorHAnsi"/>
                <w:b/>
                <w:bCs/>
                <w:color w:val="FFFFFF" w:themeColor="background1"/>
                <w:sz w:val="24"/>
                <w:szCs w:val="24"/>
                <w:lang w:eastAsia="hu-HU"/>
              </w:rPr>
              <w:t>Entrepreneurial Attitudes 28.1</w:t>
            </w:r>
          </w:p>
        </w:tc>
      </w:tr>
      <w:tr w:rsidR="00EF045B" w:rsidRPr="00A93DDA" w14:paraId="22113D4F" w14:textId="77777777" w:rsidTr="0077510F">
        <w:trPr>
          <w:trHeight w:val="313"/>
        </w:trPr>
        <w:tc>
          <w:tcPr>
            <w:cnfStyle w:val="001000000000" w:firstRow="0" w:lastRow="0" w:firstColumn="1" w:lastColumn="0" w:oddVBand="0" w:evenVBand="0" w:oddHBand="0" w:evenHBand="0" w:firstRowFirstColumn="0" w:firstRowLastColumn="0" w:lastRowFirstColumn="0" w:lastRowLastColumn="0"/>
            <w:tcW w:w="712" w:type="dxa"/>
            <w:vMerge w:val="restart"/>
            <w:tcBorders>
              <w:top w:val="nil"/>
              <w:left w:val="nil"/>
              <w:bottom w:val="nil"/>
              <w:right w:val="nil"/>
            </w:tcBorders>
            <w:shd w:val="clear" w:color="auto" w:fill="FFC000"/>
            <w:textDirection w:val="btLr"/>
            <w:hideMark/>
          </w:tcPr>
          <w:p w14:paraId="040F95F0" w14:textId="77777777" w:rsidR="00EF045B" w:rsidRPr="00A93DDA" w:rsidRDefault="00EF045B" w:rsidP="009A5DF8">
            <w:pPr>
              <w:jc w:val="center"/>
              <w:rPr>
                <w:rFonts w:eastAsia="Times New Roman" w:cstheme="minorHAnsi"/>
                <w:b w:val="0"/>
                <w:bCs w:val="0"/>
                <w:color w:val="FFFFFF" w:themeColor="background1"/>
                <w:sz w:val="20"/>
                <w:szCs w:val="20"/>
                <w:lang w:eastAsia="hu-HU"/>
              </w:rPr>
            </w:pPr>
            <w:r w:rsidRPr="00A93DDA">
              <w:rPr>
                <w:rFonts w:eastAsia="Times New Roman" w:cstheme="minorHAnsi"/>
                <w:color w:val="FFFFFF" w:themeColor="background1"/>
                <w:sz w:val="20"/>
                <w:szCs w:val="20"/>
                <w:lang w:eastAsia="hu-HU"/>
              </w:rPr>
              <w:t>Entrepreneurial Abilities</w:t>
            </w:r>
          </w:p>
        </w:tc>
        <w:tc>
          <w:tcPr>
            <w:tcW w:w="2334" w:type="dxa"/>
            <w:tcBorders>
              <w:left w:val="nil"/>
            </w:tcBorders>
            <w:shd w:val="clear" w:color="auto" w:fill="FFFFFF" w:themeFill="background1"/>
            <w:noWrap/>
            <w:hideMark/>
          </w:tcPr>
          <w:p w14:paraId="64F7CF55"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Opportunity startup</w:t>
            </w:r>
          </w:p>
        </w:tc>
        <w:tc>
          <w:tcPr>
            <w:tcW w:w="717" w:type="dxa"/>
            <w:shd w:val="clear" w:color="auto" w:fill="FF0000"/>
            <w:noWrap/>
            <w:hideMark/>
          </w:tcPr>
          <w:p w14:paraId="11D9E419"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0.15</w:t>
            </w:r>
          </w:p>
        </w:tc>
        <w:tc>
          <w:tcPr>
            <w:tcW w:w="1864" w:type="dxa"/>
            <w:shd w:val="clear" w:color="auto" w:fill="FFFFFF" w:themeFill="background1"/>
            <w:noWrap/>
            <w:hideMark/>
          </w:tcPr>
          <w:p w14:paraId="6F103BFE"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Business Environment</w:t>
            </w:r>
          </w:p>
        </w:tc>
        <w:tc>
          <w:tcPr>
            <w:tcW w:w="746" w:type="dxa"/>
            <w:shd w:val="clear" w:color="auto" w:fill="FFFFFF" w:themeFill="background1"/>
            <w:noWrap/>
            <w:hideMark/>
          </w:tcPr>
          <w:p w14:paraId="5CDA5FDB"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0.27</w:t>
            </w:r>
          </w:p>
        </w:tc>
        <w:tc>
          <w:tcPr>
            <w:tcW w:w="2132" w:type="dxa"/>
            <w:shd w:val="clear" w:color="auto" w:fill="FFFFFF" w:themeFill="background1"/>
            <w:noWrap/>
            <w:hideMark/>
          </w:tcPr>
          <w:p w14:paraId="409C33A5"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Opportunity Motivation</w:t>
            </w:r>
          </w:p>
        </w:tc>
        <w:tc>
          <w:tcPr>
            <w:tcW w:w="717" w:type="dxa"/>
            <w:shd w:val="clear" w:color="auto" w:fill="FFFFFF" w:themeFill="background1"/>
            <w:noWrap/>
            <w:hideMark/>
          </w:tcPr>
          <w:p w14:paraId="437607AD"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0.67</w:t>
            </w:r>
          </w:p>
        </w:tc>
      </w:tr>
      <w:tr w:rsidR="00EF045B" w:rsidRPr="00A93DDA" w14:paraId="27E44F09" w14:textId="77777777" w:rsidTr="0077510F">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712" w:type="dxa"/>
            <w:vMerge/>
            <w:tcBorders>
              <w:top w:val="nil"/>
              <w:left w:val="nil"/>
              <w:bottom w:val="nil"/>
              <w:right w:val="nil"/>
            </w:tcBorders>
            <w:shd w:val="clear" w:color="auto" w:fill="FFC000"/>
            <w:hideMark/>
          </w:tcPr>
          <w:p w14:paraId="0A69C1CA" w14:textId="77777777" w:rsidR="00EF045B" w:rsidRPr="00A93DDA" w:rsidRDefault="00EF045B" w:rsidP="009A5DF8">
            <w:pPr>
              <w:jc w:val="center"/>
              <w:rPr>
                <w:rFonts w:eastAsia="Times New Roman" w:cstheme="minorHAnsi"/>
                <w:b w:val="0"/>
                <w:bCs w:val="0"/>
                <w:color w:val="FFFFFF" w:themeColor="background1"/>
                <w:sz w:val="20"/>
                <w:szCs w:val="20"/>
                <w:lang w:eastAsia="hu-HU"/>
              </w:rPr>
            </w:pPr>
          </w:p>
        </w:tc>
        <w:tc>
          <w:tcPr>
            <w:tcW w:w="2334" w:type="dxa"/>
            <w:tcBorders>
              <w:left w:val="nil"/>
            </w:tcBorders>
            <w:shd w:val="clear" w:color="auto" w:fill="FFFFFF" w:themeFill="background1"/>
            <w:noWrap/>
            <w:hideMark/>
          </w:tcPr>
          <w:p w14:paraId="163C1DCE"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Technology Absorption</w:t>
            </w:r>
          </w:p>
        </w:tc>
        <w:tc>
          <w:tcPr>
            <w:tcW w:w="717" w:type="dxa"/>
            <w:shd w:val="clear" w:color="auto" w:fill="FFFFFF" w:themeFill="background1"/>
            <w:noWrap/>
            <w:hideMark/>
          </w:tcPr>
          <w:p w14:paraId="1B501CE3"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0.45</w:t>
            </w:r>
          </w:p>
        </w:tc>
        <w:tc>
          <w:tcPr>
            <w:tcW w:w="1864" w:type="dxa"/>
            <w:shd w:val="clear" w:color="auto" w:fill="FFFFFF" w:themeFill="background1"/>
            <w:noWrap/>
            <w:hideMark/>
          </w:tcPr>
          <w:p w14:paraId="6B70FB04"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Absorption Capacity</w:t>
            </w:r>
          </w:p>
        </w:tc>
        <w:tc>
          <w:tcPr>
            <w:tcW w:w="746" w:type="dxa"/>
            <w:shd w:val="clear" w:color="auto" w:fill="FFFFFF" w:themeFill="background1"/>
            <w:noWrap/>
            <w:hideMark/>
          </w:tcPr>
          <w:p w14:paraId="685ABE63"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0.37</w:t>
            </w:r>
          </w:p>
        </w:tc>
        <w:tc>
          <w:tcPr>
            <w:tcW w:w="2132" w:type="dxa"/>
            <w:shd w:val="clear" w:color="auto" w:fill="FFFFFF" w:themeFill="background1"/>
            <w:noWrap/>
            <w:hideMark/>
          </w:tcPr>
          <w:p w14:paraId="7C46D891"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Technology Level</w:t>
            </w:r>
          </w:p>
        </w:tc>
        <w:tc>
          <w:tcPr>
            <w:tcW w:w="717" w:type="dxa"/>
            <w:shd w:val="clear" w:color="auto" w:fill="FFFFFF" w:themeFill="background1"/>
            <w:noWrap/>
            <w:hideMark/>
          </w:tcPr>
          <w:p w14:paraId="44EF3580"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0.85</w:t>
            </w:r>
          </w:p>
        </w:tc>
      </w:tr>
      <w:tr w:rsidR="00EF045B" w:rsidRPr="00A93DDA" w14:paraId="306F93E5" w14:textId="77777777" w:rsidTr="0077510F">
        <w:trPr>
          <w:trHeight w:val="259"/>
        </w:trPr>
        <w:tc>
          <w:tcPr>
            <w:cnfStyle w:val="001000000000" w:firstRow="0" w:lastRow="0" w:firstColumn="1" w:lastColumn="0" w:oddVBand="0" w:evenVBand="0" w:oddHBand="0" w:evenHBand="0" w:firstRowFirstColumn="0" w:firstRowLastColumn="0" w:lastRowFirstColumn="0" w:lastRowLastColumn="0"/>
            <w:tcW w:w="712" w:type="dxa"/>
            <w:vMerge/>
            <w:tcBorders>
              <w:top w:val="nil"/>
              <w:left w:val="nil"/>
              <w:bottom w:val="nil"/>
              <w:right w:val="nil"/>
            </w:tcBorders>
            <w:shd w:val="clear" w:color="auto" w:fill="FFC000"/>
            <w:hideMark/>
          </w:tcPr>
          <w:p w14:paraId="7CB8D672" w14:textId="77777777" w:rsidR="00EF045B" w:rsidRPr="00A93DDA" w:rsidRDefault="00EF045B" w:rsidP="009A5DF8">
            <w:pPr>
              <w:jc w:val="center"/>
              <w:rPr>
                <w:rFonts w:eastAsia="Times New Roman" w:cstheme="minorHAnsi"/>
                <w:b w:val="0"/>
                <w:bCs w:val="0"/>
                <w:color w:val="FFFFFF" w:themeColor="background1"/>
                <w:sz w:val="20"/>
                <w:szCs w:val="20"/>
                <w:lang w:eastAsia="hu-HU"/>
              </w:rPr>
            </w:pPr>
          </w:p>
        </w:tc>
        <w:tc>
          <w:tcPr>
            <w:tcW w:w="2334" w:type="dxa"/>
            <w:tcBorders>
              <w:left w:val="nil"/>
            </w:tcBorders>
            <w:shd w:val="clear" w:color="auto" w:fill="FFFFFF" w:themeFill="background1"/>
            <w:noWrap/>
            <w:hideMark/>
          </w:tcPr>
          <w:p w14:paraId="5A07CCDF"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 xml:space="preserve">Human Capital </w:t>
            </w:r>
          </w:p>
        </w:tc>
        <w:tc>
          <w:tcPr>
            <w:tcW w:w="717" w:type="dxa"/>
            <w:shd w:val="clear" w:color="auto" w:fill="FF0000"/>
            <w:noWrap/>
            <w:hideMark/>
          </w:tcPr>
          <w:p w14:paraId="784B71C8"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0.23</w:t>
            </w:r>
          </w:p>
        </w:tc>
        <w:tc>
          <w:tcPr>
            <w:tcW w:w="1864" w:type="dxa"/>
            <w:shd w:val="clear" w:color="auto" w:fill="FFFFFF" w:themeFill="background1"/>
            <w:noWrap/>
            <w:hideMark/>
          </w:tcPr>
          <w:p w14:paraId="0158FFA5"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Education and Training</w:t>
            </w:r>
          </w:p>
        </w:tc>
        <w:tc>
          <w:tcPr>
            <w:tcW w:w="746" w:type="dxa"/>
            <w:shd w:val="clear" w:color="auto" w:fill="FFFFFF" w:themeFill="background1"/>
            <w:noWrap/>
            <w:hideMark/>
          </w:tcPr>
          <w:p w14:paraId="4E540554"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0.45</w:t>
            </w:r>
          </w:p>
        </w:tc>
        <w:tc>
          <w:tcPr>
            <w:tcW w:w="2132" w:type="dxa"/>
            <w:shd w:val="clear" w:color="auto" w:fill="FFFFFF" w:themeFill="background1"/>
            <w:noWrap/>
            <w:hideMark/>
          </w:tcPr>
          <w:p w14:paraId="085D3DB0"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Educational Level</w:t>
            </w:r>
          </w:p>
        </w:tc>
        <w:tc>
          <w:tcPr>
            <w:tcW w:w="717" w:type="dxa"/>
            <w:shd w:val="clear" w:color="auto" w:fill="FFFFFF" w:themeFill="background1"/>
            <w:noWrap/>
            <w:hideMark/>
          </w:tcPr>
          <w:p w14:paraId="7C144387"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0.39</w:t>
            </w:r>
          </w:p>
        </w:tc>
      </w:tr>
      <w:tr w:rsidR="00EF045B" w:rsidRPr="00A93DDA" w14:paraId="51D3BC69" w14:textId="77777777" w:rsidTr="0077510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12" w:type="dxa"/>
            <w:vMerge/>
            <w:tcBorders>
              <w:top w:val="nil"/>
              <w:left w:val="nil"/>
              <w:bottom w:val="nil"/>
              <w:right w:val="nil"/>
            </w:tcBorders>
            <w:shd w:val="clear" w:color="auto" w:fill="FFC000"/>
            <w:hideMark/>
          </w:tcPr>
          <w:p w14:paraId="438989CA" w14:textId="77777777" w:rsidR="00EF045B" w:rsidRPr="00A93DDA" w:rsidRDefault="00EF045B" w:rsidP="009A5DF8">
            <w:pPr>
              <w:jc w:val="center"/>
              <w:rPr>
                <w:rFonts w:eastAsia="Times New Roman" w:cstheme="minorHAnsi"/>
                <w:b w:val="0"/>
                <w:bCs w:val="0"/>
                <w:color w:val="FFFFFF" w:themeColor="background1"/>
                <w:sz w:val="20"/>
                <w:szCs w:val="20"/>
                <w:lang w:eastAsia="hu-HU"/>
              </w:rPr>
            </w:pPr>
          </w:p>
        </w:tc>
        <w:tc>
          <w:tcPr>
            <w:tcW w:w="2334" w:type="dxa"/>
            <w:tcBorders>
              <w:left w:val="nil"/>
            </w:tcBorders>
            <w:shd w:val="clear" w:color="auto" w:fill="FFFFFF" w:themeFill="background1"/>
            <w:noWrap/>
            <w:hideMark/>
          </w:tcPr>
          <w:p w14:paraId="0E77DCCF"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Competition</w:t>
            </w:r>
          </w:p>
        </w:tc>
        <w:tc>
          <w:tcPr>
            <w:tcW w:w="717" w:type="dxa"/>
            <w:shd w:val="clear" w:color="auto" w:fill="FFFFFF" w:themeFill="background1"/>
            <w:noWrap/>
            <w:hideMark/>
          </w:tcPr>
          <w:p w14:paraId="275E9D2F"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0.48</w:t>
            </w:r>
          </w:p>
        </w:tc>
        <w:tc>
          <w:tcPr>
            <w:tcW w:w="1864" w:type="dxa"/>
            <w:shd w:val="clear" w:color="auto" w:fill="FFFFFF" w:themeFill="background1"/>
            <w:hideMark/>
          </w:tcPr>
          <w:p w14:paraId="73C0DF73"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Business Strategy</w:t>
            </w:r>
          </w:p>
        </w:tc>
        <w:tc>
          <w:tcPr>
            <w:tcW w:w="746" w:type="dxa"/>
            <w:shd w:val="clear" w:color="auto" w:fill="FFFFFF" w:themeFill="background1"/>
            <w:noWrap/>
            <w:hideMark/>
          </w:tcPr>
          <w:p w14:paraId="494934A4"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0.90</w:t>
            </w:r>
          </w:p>
        </w:tc>
        <w:tc>
          <w:tcPr>
            <w:tcW w:w="2132" w:type="dxa"/>
            <w:shd w:val="clear" w:color="auto" w:fill="FFFFFF" w:themeFill="background1"/>
            <w:noWrap/>
            <w:hideMark/>
          </w:tcPr>
          <w:p w14:paraId="187546C8"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Competitors</w:t>
            </w:r>
          </w:p>
        </w:tc>
        <w:tc>
          <w:tcPr>
            <w:tcW w:w="717" w:type="dxa"/>
            <w:shd w:val="clear" w:color="auto" w:fill="FFFFFF" w:themeFill="background1"/>
            <w:noWrap/>
            <w:hideMark/>
          </w:tcPr>
          <w:p w14:paraId="662919E8"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0.35</w:t>
            </w:r>
          </w:p>
        </w:tc>
      </w:tr>
      <w:tr w:rsidR="00EF045B" w:rsidRPr="00A93DDA" w14:paraId="02C3CC5A" w14:textId="77777777" w:rsidTr="0077510F">
        <w:trPr>
          <w:trHeight w:val="259"/>
        </w:trPr>
        <w:tc>
          <w:tcPr>
            <w:cnfStyle w:val="001000000000" w:firstRow="0" w:lastRow="0" w:firstColumn="1" w:lastColumn="0" w:oddVBand="0" w:evenVBand="0" w:oddHBand="0" w:evenHBand="0" w:firstRowFirstColumn="0" w:firstRowLastColumn="0" w:lastRowFirstColumn="0" w:lastRowLastColumn="0"/>
            <w:tcW w:w="712" w:type="dxa"/>
            <w:vMerge/>
            <w:tcBorders>
              <w:top w:val="nil"/>
              <w:left w:val="nil"/>
              <w:bottom w:val="nil"/>
              <w:right w:val="nil"/>
            </w:tcBorders>
            <w:shd w:val="clear" w:color="auto" w:fill="FFC000"/>
            <w:hideMark/>
          </w:tcPr>
          <w:p w14:paraId="42EFEDE6" w14:textId="77777777" w:rsidR="00EF045B" w:rsidRPr="00A93DDA" w:rsidRDefault="00EF045B" w:rsidP="009A5DF8">
            <w:pPr>
              <w:jc w:val="center"/>
              <w:rPr>
                <w:rFonts w:eastAsia="Times New Roman" w:cstheme="minorHAnsi"/>
                <w:b w:val="0"/>
                <w:bCs w:val="0"/>
                <w:color w:val="FFFFFF" w:themeColor="background1"/>
                <w:sz w:val="20"/>
                <w:szCs w:val="20"/>
                <w:lang w:eastAsia="hu-HU"/>
              </w:rPr>
            </w:pPr>
          </w:p>
        </w:tc>
        <w:tc>
          <w:tcPr>
            <w:tcW w:w="8510" w:type="dxa"/>
            <w:gridSpan w:val="6"/>
            <w:tcBorders>
              <w:left w:val="nil"/>
            </w:tcBorders>
            <w:shd w:val="clear" w:color="auto" w:fill="FFC000"/>
            <w:noWrap/>
            <w:hideMark/>
          </w:tcPr>
          <w:p w14:paraId="09865DA9" w14:textId="77777777" w:rsidR="00EF045B" w:rsidRPr="00C1320F" w:rsidRDefault="00EF045B" w:rsidP="00A93D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FFFFFF" w:themeColor="background1"/>
                <w:sz w:val="24"/>
                <w:szCs w:val="24"/>
                <w:lang w:eastAsia="hu-HU"/>
              </w:rPr>
            </w:pPr>
            <w:r w:rsidRPr="00C1320F">
              <w:rPr>
                <w:rFonts w:eastAsia="Times New Roman" w:cstheme="minorHAnsi"/>
                <w:b/>
                <w:bCs/>
                <w:color w:val="FFFFFF" w:themeColor="background1"/>
                <w:sz w:val="24"/>
                <w:szCs w:val="24"/>
                <w:lang w:eastAsia="hu-HU"/>
              </w:rPr>
              <w:t>Entrepreneurial Abilities 29.9</w:t>
            </w:r>
          </w:p>
        </w:tc>
      </w:tr>
      <w:tr w:rsidR="00EF045B" w:rsidRPr="00A93DDA" w14:paraId="4C8421A3" w14:textId="77777777" w:rsidTr="0077510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12" w:type="dxa"/>
            <w:vMerge w:val="restart"/>
            <w:tcBorders>
              <w:top w:val="nil"/>
              <w:left w:val="nil"/>
              <w:bottom w:val="nil"/>
              <w:right w:val="nil"/>
            </w:tcBorders>
            <w:shd w:val="clear" w:color="auto" w:fill="FFC000"/>
            <w:textDirection w:val="btLr"/>
            <w:hideMark/>
          </w:tcPr>
          <w:p w14:paraId="2C8355C3" w14:textId="77777777" w:rsidR="00EF045B" w:rsidRPr="00A93DDA" w:rsidRDefault="009A5DF8" w:rsidP="009A5DF8">
            <w:pPr>
              <w:jc w:val="center"/>
              <w:rPr>
                <w:rFonts w:eastAsia="Times New Roman" w:cstheme="minorHAnsi"/>
                <w:color w:val="FFFFFF" w:themeColor="background1"/>
                <w:sz w:val="20"/>
                <w:szCs w:val="20"/>
                <w:lang w:eastAsia="hu-HU"/>
              </w:rPr>
            </w:pPr>
            <w:r w:rsidRPr="00A93DDA">
              <w:rPr>
                <w:rFonts w:eastAsia="Times New Roman" w:cstheme="minorHAnsi"/>
                <w:color w:val="FFFFFF" w:themeColor="background1"/>
                <w:sz w:val="20"/>
                <w:szCs w:val="20"/>
                <w:lang w:eastAsia="hu-HU"/>
              </w:rPr>
              <w:t>En</w:t>
            </w:r>
            <w:r w:rsidR="00EF045B" w:rsidRPr="00A93DDA">
              <w:rPr>
                <w:rFonts w:eastAsia="Times New Roman" w:cstheme="minorHAnsi"/>
                <w:color w:val="FFFFFF" w:themeColor="background1"/>
                <w:sz w:val="20"/>
                <w:szCs w:val="20"/>
                <w:lang w:eastAsia="hu-HU"/>
              </w:rPr>
              <w:t>trepreneurial</w:t>
            </w:r>
          </w:p>
          <w:p w14:paraId="457DF51B" w14:textId="77777777" w:rsidR="00EF045B" w:rsidRPr="00A93DDA" w:rsidRDefault="00EF045B" w:rsidP="009A5DF8">
            <w:pPr>
              <w:jc w:val="center"/>
              <w:rPr>
                <w:rFonts w:eastAsia="Times New Roman" w:cstheme="minorHAnsi"/>
                <w:b w:val="0"/>
                <w:bCs w:val="0"/>
                <w:color w:val="FFFFFF" w:themeColor="background1"/>
                <w:sz w:val="20"/>
                <w:szCs w:val="20"/>
                <w:lang w:eastAsia="hu-HU"/>
              </w:rPr>
            </w:pPr>
            <w:r w:rsidRPr="00A93DDA">
              <w:rPr>
                <w:rFonts w:eastAsia="Times New Roman" w:cstheme="minorHAnsi"/>
                <w:color w:val="FFFFFF" w:themeColor="background1"/>
                <w:sz w:val="20"/>
                <w:szCs w:val="20"/>
                <w:lang w:eastAsia="hu-HU"/>
              </w:rPr>
              <w:t>Aspirations</w:t>
            </w:r>
          </w:p>
        </w:tc>
        <w:tc>
          <w:tcPr>
            <w:tcW w:w="2334" w:type="dxa"/>
            <w:tcBorders>
              <w:left w:val="nil"/>
            </w:tcBorders>
            <w:shd w:val="clear" w:color="auto" w:fill="FFFFFF" w:themeFill="background1"/>
            <w:noWrap/>
            <w:hideMark/>
          </w:tcPr>
          <w:p w14:paraId="0C30E06F"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Product innovation</w:t>
            </w:r>
          </w:p>
        </w:tc>
        <w:tc>
          <w:tcPr>
            <w:tcW w:w="717" w:type="dxa"/>
            <w:shd w:val="clear" w:color="auto" w:fill="92D050"/>
            <w:noWrap/>
            <w:hideMark/>
          </w:tcPr>
          <w:p w14:paraId="4A1EAAB6"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1.00</w:t>
            </w:r>
          </w:p>
        </w:tc>
        <w:tc>
          <w:tcPr>
            <w:tcW w:w="1864" w:type="dxa"/>
            <w:shd w:val="clear" w:color="auto" w:fill="FFFFFF" w:themeFill="background1"/>
            <w:noWrap/>
            <w:hideMark/>
          </w:tcPr>
          <w:p w14:paraId="1587DE4A"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Technology Transfer</w:t>
            </w:r>
          </w:p>
        </w:tc>
        <w:tc>
          <w:tcPr>
            <w:tcW w:w="746" w:type="dxa"/>
            <w:shd w:val="clear" w:color="auto" w:fill="FFFFFF" w:themeFill="background1"/>
            <w:noWrap/>
            <w:hideMark/>
          </w:tcPr>
          <w:p w14:paraId="18676C04"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0.79</w:t>
            </w:r>
          </w:p>
        </w:tc>
        <w:tc>
          <w:tcPr>
            <w:tcW w:w="2132" w:type="dxa"/>
            <w:shd w:val="clear" w:color="auto" w:fill="FFFFFF" w:themeFill="background1"/>
            <w:noWrap/>
            <w:hideMark/>
          </w:tcPr>
          <w:p w14:paraId="52A79298"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New Product</w:t>
            </w:r>
          </w:p>
        </w:tc>
        <w:tc>
          <w:tcPr>
            <w:tcW w:w="717" w:type="dxa"/>
            <w:shd w:val="clear" w:color="auto" w:fill="FFFFFF" w:themeFill="background1"/>
            <w:noWrap/>
            <w:hideMark/>
          </w:tcPr>
          <w:p w14:paraId="01AFB374"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1.00</w:t>
            </w:r>
          </w:p>
        </w:tc>
      </w:tr>
      <w:tr w:rsidR="00EF045B" w:rsidRPr="00A93DDA" w14:paraId="1466A7D1" w14:textId="77777777" w:rsidTr="0077510F">
        <w:trPr>
          <w:trHeight w:val="269"/>
        </w:trPr>
        <w:tc>
          <w:tcPr>
            <w:cnfStyle w:val="001000000000" w:firstRow="0" w:lastRow="0" w:firstColumn="1" w:lastColumn="0" w:oddVBand="0" w:evenVBand="0" w:oddHBand="0" w:evenHBand="0" w:firstRowFirstColumn="0" w:firstRowLastColumn="0" w:lastRowFirstColumn="0" w:lastRowLastColumn="0"/>
            <w:tcW w:w="712" w:type="dxa"/>
            <w:vMerge/>
            <w:tcBorders>
              <w:top w:val="nil"/>
              <w:left w:val="nil"/>
              <w:bottom w:val="nil"/>
              <w:right w:val="nil"/>
            </w:tcBorders>
            <w:shd w:val="clear" w:color="auto" w:fill="FFC000"/>
            <w:hideMark/>
          </w:tcPr>
          <w:p w14:paraId="040B4269" w14:textId="77777777" w:rsidR="00EF045B" w:rsidRPr="00A93DDA" w:rsidRDefault="00EF045B" w:rsidP="00A93DDA">
            <w:pPr>
              <w:jc w:val="both"/>
              <w:rPr>
                <w:rFonts w:eastAsia="Times New Roman" w:cstheme="minorHAnsi"/>
                <w:b w:val="0"/>
                <w:bCs w:val="0"/>
                <w:sz w:val="20"/>
                <w:szCs w:val="20"/>
                <w:lang w:eastAsia="hu-HU"/>
              </w:rPr>
            </w:pPr>
          </w:p>
        </w:tc>
        <w:tc>
          <w:tcPr>
            <w:tcW w:w="2334" w:type="dxa"/>
            <w:tcBorders>
              <w:left w:val="nil"/>
            </w:tcBorders>
            <w:shd w:val="clear" w:color="auto" w:fill="FFFFFF" w:themeFill="background1"/>
            <w:noWrap/>
            <w:hideMark/>
          </w:tcPr>
          <w:p w14:paraId="3EFF789B"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Process innovation</w:t>
            </w:r>
          </w:p>
        </w:tc>
        <w:tc>
          <w:tcPr>
            <w:tcW w:w="717" w:type="dxa"/>
            <w:shd w:val="clear" w:color="auto" w:fill="92D050"/>
            <w:noWrap/>
            <w:hideMark/>
          </w:tcPr>
          <w:p w14:paraId="69C2B091"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0.70</w:t>
            </w:r>
          </w:p>
        </w:tc>
        <w:tc>
          <w:tcPr>
            <w:tcW w:w="1864" w:type="dxa"/>
            <w:shd w:val="clear" w:color="auto" w:fill="FFFFFF" w:themeFill="background1"/>
            <w:noWrap/>
            <w:hideMark/>
          </w:tcPr>
          <w:p w14:paraId="6CFC97D8"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Technology Development</w:t>
            </w:r>
          </w:p>
        </w:tc>
        <w:tc>
          <w:tcPr>
            <w:tcW w:w="746" w:type="dxa"/>
            <w:shd w:val="clear" w:color="auto" w:fill="FFFFFF" w:themeFill="background1"/>
            <w:noWrap/>
            <w:hideMark/>
          </w:tcPr>
          <w:p w14:paraId="315A2C43"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0.57</w:t>
            </w:r>
          </w:p>
        </w:tc>
        <w:tc>
          <w:tcPr>
            <w:tcW w:w="2132" w:type="dxa"/>
            <w:shd w:val="clear" w:color="auto" w:fill="FFFFFF" w:themeFill="background1"/>
            <w:noWrap/>
            <w:hideMark/>
          </w:tcPr>
          <w:p w14:paraId="6B60C44E"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New Technology</w:t>
            </w:r>
          </w:p>
        </w:tc>
        <w:tc>
          <w:tcPr>
            <w:tcW w:w="717" w:type="dxa"/>
            <w:shd w:val="clear" w:color="auto" w:fill="FFFFFF" w:themeFill="background1"/>
            <w:noWrap/>
            <w:hideMark/>
          </w:tcPr>
          <w:p w14:paraId="7A57C67D"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0.96</w:t>
            </w:r>
          </w:p>
        </w:tc>
      </w:tr>
      <w:tr w:rsidR="00EF045B" w:rsidRPr="00A93DDA" w14:paraId="6547E174" w14:textId="77777777" w:rsidTr="0077510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12" w:type="dxa"/>
            <w:vMerge/>
            <w:tcBorders>
              <w:top w:val="nil"/>
              <w:left w:val="nil"/>
              <w:bottom w:val="nil"/>
              <w:right w:val="nil"/>
            </w:tcBorders>
            <w:shd w:val="clear" w:color="auto" w:fill="FFC000"/>
            <w:hideMark/>
          </w:tcPr>
          <w:p w14:paraId="4140C0E3" w14:textId="77777777" w:rsidR="00EF045B" w:rsidRPr="00A93DDA" w:rsidRDefault="00EF045B" w:rsidP="00A93DDA">
            <w:pPr>
              <w:jc w:val="both"/>
              <w:rPr>
                <w:rFonts w:eastAsia="Times New Roman" w:cstheme="minorHAnsi"/>
                <w:b w:val="0"/>
                <w:bCs w:val="0"/>
                <w:sz w:val="20"/>
                <w:szCs w:val="20"/>
                <w:lang w:eastAsia="hu-HU"/>
              </w:rPr>
            </w:pPr>
          </w:p>
        </w:tc>
        <w:tc>
          <w:tcPr>
            <w:tcW w:w="2334" w:type="dxa"/>
            <w:tcBorders>
              <w:left w:val="nil"/>
            </w:tcBorders>
            <w:shd w:val="clear" w:color="auto" w:fill="FFFFFF" w:themeFill="background1"/>
            <w:noWrap/>
            <w:hideMark/>
          </w:tcPr>
          <w:p w14:paraId="6C3494A3"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High growth</w:t>
            </w:r>
          </w:p>
        </w:tc>
        <w:tc>
          <w:tcPr>
            <w:tcW w:w="717" w:type="dxa"/>
            <w:shd w:val="clear" w:color="auto" w:fill="FF0000"/>
            <w:noWrap/>
            <w:hideMark/>
          </w:tcPr>
          <w:p w14:paraId="383718B1"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0.12</w:t>
            </w:r>
          </w:p>
        </w:tc>
        <w:tc>
          <w:tcPr>
            <w:tcW w:w="1864" w:type="dxa"/>
            <w:shd w:val="clear" w:color="auto" w:fill="FFFFFF" w:themeFill="background1"/>
            <w:noWrap/>
            <w:hideMark/>
          </w:tcPr>
          <w:p w14:paraId="34BB124C"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Clustering</w:t>
            </w:r>
          </w:p>
        </w:tc>
        <w:tc>
          <w:tcPr>
            <w:tcW w:w="746" w:type="dxa"/>
            <w:shd w:val="clear" w:color="auto" w:fill="FFFFFF" w:themeFill="background1"/>
            <w:noWrap/>
            <w:hideMark/>
          </w:tcPr>
          <w:p w14:paraId="07B9B8D7"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0.40</w:t>
            </w:r>
          </w:p>
        </w:tc>
        <w:tc>
          <w:tcPr>
            <w:tcW w:w="2132" w:type="dxa"/>
            <w:shd w:val="clear" w:color="auto" w:fill="FFFFFF" w:themeFill="background1"/>
            <w:noWrap/>
            <w:hideMark/>
          </w:tcPr>
          <w:p w14:paraId="7AF4D1AA"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Gazelle</w:t>
            </w:r>
          </w:p>
        </w:tc>
        <w:tc>
          <w:tcPr>
            <w:tcW w:w="717" w:type="dxa"/>
            <w:shd w:val="clear" w:color="auto" w:fill="FFFFFF" w:themeFill="background1"/>
            <w:noWrap/>
            <w:hideMark/>
          </w:tcPr>
          <w:p w14:paraId="1D1C647D"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0.38</w:t>
            </w:r>
          </w:p>
        </w:tc>
      </w:tr>
      <w:tr w:rsidR="00EF045B" w:rsidRPr="00A93DDA" w14:paraId="3E951AB3" w14:textId="77777777" w:rsidTr="0077510F">
        <w:trPr>
          <w:trHeight w:val="259"/>
        </w:trPr>
        <w:tc>
          <w:tcPr>
            <w:cnfStyle w:val="001000000000" w:firstRow="0" w:lastRow="0" w:firstColumn="1" w:lastColumn="0" w:oddVBand="0" w:evenVBand="0" w:oddHBand="0" w:evenHBand="0" w:firstRowFirstColumn="0" w:firstRowLastColumn="0" w:lastRowFirstColumn="0" w:lastRowLastColumn="0"/>
            <w:tcW w:w="712" w:type="dxa"/>
            <w:vMerge/>
            <w:tcBorders>
              <w:top w:val="nil"/>
              <w:left w:val="nil"/>
              <w:bottom w:val="nil"/>
              <w:right w:val="nil"/>
            </w:tcBorders>
            <w:shd w:val="clear" w:color="auto" w:fill="FFC000"/>
            <w:hideMark/>
          </w:tcPr>
          <w:p w14:paraId="11A11B60" w14:textId="77777777" w:rsidR="00EF045B" w:rsidRPr="00A93DDA" w:rsidRDefault="00EF045B" w:rsidP="00A93DDA">
            <w:pPr>
              <w:jc w:val="both"/>
              <w:rPr>
                <w:rFonts w:eastAsia="Times New Roman" w:cstheme="minorHAnsi"/>
                <w:b w:val="0"/>
                <w:bCs w:val="0"/>
                <w:sz w:val="20"/>
                <w:szCs w:val="20"/>
                <w:lang w:eastAsia="hu-HU"/>
              </w:rPr>
            </w:pPr>
          </w:p>
        </w:tc>
        <w:tc>
          <w:tcPr>
            <w:tcW w:w="2334" w:type="dxa"/>
            <w:tcBorders>
              <w:left w:val="nil"/>
            </w:tcBorders>
            <w:shd w:val="clear" w:color="auto" w:fill="FFFFFF" w:themeFill="background1"/>
            <w:noWrap/>
            <w:hideMark/>
          </w:tcPr>
          <w:p w14:paraId="6CA3EB7E"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Globalization</w:t>
            </w:r>
          </w:p>
        </w:tc>
        <w:tc>
          <w:tcPr>
            <w:tcW w:w="717" w:type="dxa"/>
            <w:shd w:val="clear" w:color="auto" w:fill="FFFFFF" w:themeFill="background1"/>
            <w:noWrap/>
            <w:hideMark/>
          </w:tcPr>
          <w:p w14:paraId="678E34C3"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0.40</w:t>
            </w:r>
          </w:p>
        </w:tc>
        <w:tc>
          <w:tcPr>
            <w:tcW w:w="1864" w:type="dxa"/>
            <w:shd w:val="clear" w:color="auto" w:fill="FFFFFF" w:themeFill="background1"/>
            <w:noWrap/>
            <w:hideMark/>
          </w:tcPr>
          <w:p w14:paraId="558AFD92"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Connectivity</w:t>
            </w:r>
          </w:p>
        </w:tc>
        <w:tc>
          <w:tcPr>
            <w:tcW w:w="746" w:type="dxa"/>
            <w:shd w:val="clear" w:color="auto" w:fill="FFFFFF" w:themeFill="background1"/>
            <w:noWrap/>
            <w:hideMark/>
          </w:tcPr>
          <w:p w14:paraId="502EB6FC"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0.65</w:t>
            </w:r>
          </w:p>
        </w:tc>
        <w:tc>
          <w:tcPr>
            <w:tcW w:w="2132" w:type="dxa"/>
            <w:shd w:val="clear" w:color="auto" w:fill="FFFFFF" w:themeFill="background1"/>
            <w:noWrap/>
            <w:hideMark/>
          </w:tcPr>
          <w:p w14:paraId="2B2EBF6F"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Export</w:t>
            </w:r>
          </w:p>
        </w:tc>
        <w:tc>
          <w:tcPr>
            <w:tcW w:w="717" w:type="dxa"/>
            <w:shd w:val="clear" w:color="auto" w:fill="FFFFFF" w:themeFill="background1"/>
            <w:noWrap/>
            <w:hideMark/>
          </w:tcPr>
          <w:p w14:paraId="3B72CFA7" w14:textId="77777777" w:rsidR="00EF045B" w:rsidRPr="00A93DDA" w:rsidRDefault="00EF045B" w:rsidP="00A93DDA">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0.55</w:t>
            </w:r>
          </w:p>
        </w:tc>
      </w:tr>
      <w:tr w:rsidR="00EF045B" w:rsidRPr="00A93DDA" w14:paraId="0D9D5041" w14:textId="77777777" w:rsidTr="0077510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12" w:type="dxa"/>
            <w:vMerge/>
            <w:tcBorders>
              <w:top w:val="nil"/>
              <w:left w:val="nil"/>
              <w:bottom w:val="nil"/>
              <w:right w:val="nil"/>
            </w:tcBorders>
            <w:shd w:val="clear" w:color="auto" w:fill="FFC000"/>
            <w:hideMark/>
          </w:tcPr>
          <w:p w14:paraId="792E277B" w14:textId="77777777" w:rsidR="00EF045B" w:rsidRPr="00A93DDA" w:rsidRDefault="00EF045B" w:rsidP="00A93DDA">
            <w:pPr>
              <w:jc w:val="both"/>
              <w:rPr>
                <w:rFonts w:eastAsia="Times New Roman" w:cstheme="minorHAnsi"/>
                <w:b w:val="0"/>
                <w:bCs w:val="0"/>
                <w:sz w:val="20"/>
                <w:szCs w:val="20"/>
                <w:lang w:eastAsia="hu-HU"/>
              </w:rPr>
            </w:pPr>
          </w:p>
        </w:tc>
        <w:tc>
          <w:tcPr>
            <w:tcW w:w="2334" w:type="dxa"/>
            <w:tcBorders>
              <w:left w:val="nil"/>
            </w:tcBorders>
            <w:shd w:val="clear" w:color="auto" w:fill="auto"/>
            <w:noWrap/>
            <w:hideMark/>
          </w:tcPr>
          <w:p w14:paraId="7AAD8D72"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Financing</w:t>
            </w:r>
          </w:p>
        </w:tc>
        <w:tc>
          <w:tcPr>
            <w:tcW w:w="717" w:type="dxa"/>
            <w:shd w:val="clear" w:color="auto" w:fill="auto"/>
            <w:noWrap/>
            <w:hideMark/>
          </w:tcPr>
          <w:p w14:paraId="6F1840AD"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0.43</w:t>
            </w:r>
          </w:p>
        </w:tc>
        <w:tc>
          <w:tcPr>
            <w:tcW w:w="1864" w:type="dxa"/>
            <w:shd w:val="clear" w:color="auto" w:fill="auto"/>
            <w:hideMark/>
          </w:tcPr>
          <w:p w14:paraId="10762D34"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Financial Institutions</w:t>
            </w:r>
          </w:p>
        </w:tc>
        <w:tc>
          <w:tcPr>
            <w:tcW w:w="746" w:type="dxa"/>
            <w:shd w:val="clear" w:color="auto" w:fill="auto"/>
            <w:noWrap/>
            <w:hideMark/>
          </w:tcPr>
          <w:p w14:paraId="20B0DD37"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0.56</w:t>
            </w:r>
          </w:p>
        </w:tc>
        <w:tc>
          <w:tcPr>
            <w:tcW w:w="2132" w:type="dxa"/>
            <w:shd w:val="clear" w:color="auto" w:fill="auto"/>
            <w:noWrap/>
            <w:hideMark/>
          </w:tcPr>
          <w:p w14:paraId="3C2338BC"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Informal Investment</w:t>
            </w:r>
          </w:p>
        </w:tc>
        <w:tc>
          <w:tcPr>
            <w:tcW w:w="717" w:type="dxa"/>
            <w:shd w:val="clear" w:color="auto" w:fill="auto"/>
            <w:noWrap/>
            <w:hideMark/>
          </w:tcPr>
          <w:p w14:paraId="2E444F27"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hu-HU"/>
              </w:rPr>
            </w:pPr>
            <w:r w:rsidRPr="00A93DDA">
              <w:rPr>
                <w:rFonts w:eastAsia="Times New Roman" w:cstheme="minorHAnsi"/>
                <w:sz w:val="20"/>
                <w:szCs w:val="20"/>
                <w:lang w:eastAsia="hu-HU"/>
              </w:rPr>
              <w:t>0.64</w:t>
            </w:r>
          </w:p>
        </w:tc>
      </w:tr>
      <w:tr w:rsidR="00EF045B" w:rsidRPr="00A93DDA" w14:paraId="583CFC79" w14:textId="77777777" w:rsidTr="0077510F">
        <w:trPr>
          <w:trHeight w:val="341"/>
        </w:trPr>
        <w:tc>
          <w:tcPr>
            <w:cnfStyle w:val="001000000000" w:firstRow="0" w:lastRow="0" w:firstColumn="1" w:lastColumn="0" w:oddVBand="0" w:evenVBand="0" w:oddHBand="0" w:evenHBand="0" w:firstRowFirstColumn="0" w:firstRowLastColumn="0" w:lastRowFirstColumn="0" w:lastRowLastColumn="0"/>
            <w:tcW w:w="712" w:type="dxa"/>
            <w:vMerge/>
            <w:tcBorders>
              <w:top w:val="nil"/>
              <w:left w:val="nil"/>
              <w:bottom w:val="nil"/>
              <w:right w:val="nil"/>
            </w:tcBorders>
            <w:shd w:val="clear" w:color="auto" w:fill="FFC000"/>
            <w:hideMark/>
          </w:tcPr>
          <w:p w14:paraId="671C9338" w14:textId="77777777" w:rsidR="00EF045B" w:rsidRPr="00A93DDA" w:rsidRDefault="00EF045B" w:rsidP="00A93DDA">
            <w:pPr>
              <w:jc w:val="both"/>
              <w:rPr>
                <w:rFonts w:eastAsia="Times New Roman" w:cstheme="minorHAnsi"/>
                <w:b w:val="0"/>
                <w:bCs w:val="0"/>
                <w:sz w:val="20"/>
                <w:szCs w:val="20"/>
                <w:lang w:eastAsia="hu-HU"/>
              </w:rPr>
            </w:pPr>
          </w:p>
        </w:tc>
        <w:tc>
          <w:tcPr>
            <w:tcW w:w="8510" w:type="dxa"/>
            <w:gridSpan w:val="6"/>
            <w:tcBorders>
              <w:left w:val="nil"/>
              <w:bottom w:val="single" w:sz="4" w:space="0" w:color="auto"/>
            </w:tcBorders>
            <w:shd w:val="clear" w:color="auto" w:fill="FFC000"/>
            <w:noWrap/>
            <w:hideMark/>
          </w:tcPr>
          <w:p w14:paraId="4E48C1BB" w14:textId="77777777" w:rsidR="00EF045B" w:rsidRPr="00C1320F" w:rsidRDefault="00EF045B" w:rsidP="00A93DD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FFFF" w:themeColor="background1"/>
                <w:sz w:val="24"/>
                <w:szCs w:val="24"/>
                <w:lang w:eastAsia="hu-HU"/>
              </w:rPr>
            </w:pPr>
            <w:r w:rsidRPr="00C1320F">
              <w:rPr>
                <w:rFonts w:eastAsia="Times New Roman" w:cstheme="minorHAnsi"/>
                <w:b/>
                <w:bCs/>
                <w:color w:val="FFFFFF" w:themeColor="background1"/>
                <w:sz w:val="24"/>
                <w:szCs w:val="24"/>
                <w:lang w:eastAsia="hu-HU"/>
              </w:rPr>
              <w:t>Entrepreneurial Aspirations 42.6</w:t>
            </w:r>
          </w:p>
        </w:tc>
      </w:tr>
      <w:tr w:rsidR="00EF045B" w:rsidRPr="00A93DDA" w14:paraId="5B0F35C1" w14:textId="77777777" w:rsidTr="0077510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712" w:type="dxa"/>
            <w:tcBorders>
              <w:top w:val="nil"/>
              <w:left w:val="nil"/>
              <w:bottom w:val="nil"/>
              <w:right w:val="nil"/>
            </w:tcBorders>
            <w:shd w:val="clear" w:color="auto" w:fill="FFC000"/>
            <w:noWrap/>
            <w:hideMark/>
          </w:tcPr>
          <w:p w14:paraId="36AE8A1F" w14:textId="77777777" w:rsidR="00EF045B" w:rsidRPr="00A93DDA" w:rsidRDefault="00EF045B" w:rsidP="00A93DDA">
            <w:pPr>
              <w:jc w:val="both"/>
              <w:rPr>
                <w:rFonts w:eastAsia="Times New Roman" w:cstheme="minorHAnsi"/>
                <w:color w:val="000000"/>
                <w:sz w:val="20"/>
                <w:szCs w:val="20"/>
                <w:lang w:eastAsia="hu-HU"/>
              </w:rPr>
            </w:pPr>
            <w:r w:rsidRPr="00A93DDA">
              <w:rPr>
                <w:rFonts w:eastAsia="Times New Roman" w:cstheme="minorHAnsi"/>
                <w:color w:val="000000"/>
                <w:sz w:val="20"/>
                <w:szCs w:val="20"/>
                <w:lang w:eastAsia="hu-HU"/>
              </w:rPr>
              <w:t> </w:t>
            </w:r>
          </w:p>
        </w:tc>
        <w:tc>
          <w:tcPr>
            <w:tcW w:w="2334" w:type="dxa"/>
            <w:tcBorders>
              <w:top w:val="single" w:sz="4" w:space="0" w:color="auto"/>
              <w:left w:val="nil"/>
              <w:bottom w:val="nil"/>
              <w:right w:val="nil"/>
            </w:tcBorders>
            <w:shd w:val="clear" w:color="auto" w:fill="auto"/>
            <w:hideMark/>
          </w:tcPr>
          <w:p w14:paraId="60F58AC5" w14:textId="77777777" w:rsidR="00EF045B" w:rsidRPr="00A93DDA" w:rsidRDefault="009A5DF8"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8"/>
                <w:szCs w:val="28"/>
                <w:lang w:eastAsia="hu-HU"/>
              </w:rPr>
            </w:pPr>
            <w:r w:rsidRPr="00A93DDA">
              <w:rPr>
                <w:rFonts w:eastAsia="Times New Roman" w:cstheme="minorHAnsi"/>
                <w:b/>
                <w:bCs/>
                <w:sz w:val="28"/>
                <w:szCs w:val="28"/>
                <w:lang w:eastAsia="hu-HU"/>
              </w:rPr>
              <w:t>REDI</w:t>
            </w:r>
          </w:p>
        </w:tc>
        <w:tc>
          <w:tcPr>
            <w:tcW w:w="717" w:type="dxa"/>
            <w:tcBorders>
              <w:top w:val="single" w:sz="4" w:space="0" w:color="auto"/>
              <w:left w:val="nil"/>
              <w:bottom w:val="nil"/>
              <w:right w:val="nil"/>
            </w:tcBorders>
            <w:shd w:val="clear" w:color="auto" w:fill="auto"/>
            <w:noWrap/>
            <w:hideMark/>
          </w:tcPr>
          <w:p w14:paraId="46D99AA8"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8"/>
                <w:szCs w:val="28"/>
                <w:lang w:eastAsia="hu-HU"/>
              </w:rPr>
            </w:pPr>
            <w:r w:rsidRPr="00A93DDA">
              <w:rPr>
                <w:rFonts w:eastAsia="Times New Roman" w:cstheme="minorHAnsi"/>
                <w:b/>
                <w:bCs/>
                <w:sz w:val="28"/>
                <w:szCs w:val="28"/>
                <w:lang w:eastAsia="hu-HU"/>
              </w:rPr>
              <w:t>33.5</w:t>
            </w:r>
          </w:p>
        </w:tc>
        <w:tc>
          <w:tcPr>
            <w:tcW w:w="1864" w:type="dxa"/>
            <w:tcBorders>
              <w:top w:val="single" w:sz="4" w:space="0" w:color="auto"/>
              <w:left w:val="nil"/>
              <w:bottom w:val="nil"/>
              <w:right w:val="nil"/>
            </w:tcBorders>
            <w:shd w:val="clear" w:color="auto" w:fill="auto"/>
            <w:noWrap/>
            <w:hideMark/>
          </w:tcPr>
          <w:p w14:paraId="250EF8DF"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8"/>
                <w:szCs w:val="28"/>
                <w:lang w:eastAsia="hu-HU"/>
              </w:rPr>
            </w:pPr>
            <w:r w:rsidRPr="00A93DDA">
              <w:rPr>
                <w:rFonts w:eastAsia="Times New Roman" w:cstheme="minorHAnsi"/>
                <w:b/>
                <w:bCs/>
                <w:sz w:val="28"/>
                <w:szCs w:val="28"/>
                <w:lang w:eastAsia="hu-HU"/>
              </w:rPr>
              <w:t>Institutional</w:t>
            </w:r>
          </w:p>
        </w:tc>
        <w:tc>
          <w:tcPr>
            <w:tcW w:w="746" w:type="dxa"/>
            <w:tcBorders>
              <w:top w:val="single" w:sz="4" w:space="0" w:color="auto"/>
              <w:left w:val="nil"/>
              <w:bottom w:val="nil"/>
              <w:right w:val="nil"/>
            </w:tcBorders>
            <w:shd w:val="clear" w:color="auto" w:fill="auto"/>
            <w:noWrap/>
            <w:hideMark/>
          </w:tcPr>
          <w:p w14:paraId="4A6E54AF"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8"/>
                <w:szCs w:val="28"/>
                <w:lang w:eastAsia="hu-HU"/>
              </w:rPr>
            </w:pPr>
            <w:r w:rsidRPr="00A93DDA">
              <w:rPr>
                <w:rFonts w:eastAsia="Times New Roman" w:cstheme="minorHAnsi"/>
                <w:b/>
                <w:bCs/>
                <w:sz w:val="28"/>
                <w:szCs w:val="28"/>
                <w:lang w:eastAsia="hu-HU"/>
              </w:rPr>
              <w:t>0.54</w:t>
            </w:r>
          </w:p>
        </w:tc>
        <w:tc>
          <w:tcPr>
            <w:tcW w:w="2132" w:type="dxa"/>
            <w:tcBorders>
              <w:top w:val="single" w:sz="4" w:space="0" w:color="auto"/>
              <w:left w:val="nil"/>
              <w:bottom w:val="nil"/>
              <w:right w:val="nil"/>
            </w:tcBorders>
            <w:shd w:val="clear" w:color="auto" w:fill="auto"/>
            <w:noWrap/>
            <w:hideMark/>
          </w:tcPr>
          <w:p w14:paraId="05B396F8"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8"/>
                <w:szCs w:val="28"/>
                <w:lang w:eastAsia="hu-HU"/>
              </w:rPr>
            </w:pPr>
            <w:r w:rsidRPr="00A93DDA">
              <w:rPr>
                <w:rFonts w:eastAsia="Times New Roman" w:cstheme="minorHAnsi"/>
                <w:b/>
                <w:bCs/>
                <w:sz w:val="28"/>
                <w:szCs w:val="28"/>
                <w:lang w:eastAsia="hu-HU"/>
              </w:rPr>
              <w:t>Individual</w:t>
            </w:r>
          </w:p>
        </w:tc>
        <w:tc>
          <w:tcPr>
            <w:tcW w:w="717" w:type="dxa"/>
            <w:tcBorders>
              <w:top w:val="single" w:sz="4" w:space="0" w:color="auto"/>
              <w:left w:val="nil"/>
              <w:bottom w:val="nil"/>
              <w:right w:val="nil"/>
            </w:tcBorders>
            <w:shd w:val="clear" w:color="auto" w:fill="auto"/>
            <w:noWrap/>
            <w:hideMark/>
          </w:tcPr>
          <w:p w14:paraId="55B34FF4" w14:textId="77777777" w:rsidR="00EF045B" w:rsidRPr="00A93DDA" w:rsidRDefault="00EF045B" w:rsidP="00A93DDA">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8"/>
                <w:szCs w:val="28"/>
                <w:lang w:eastAsia="hu-HU"/>
              </w:rPr>
            </w:pPr>
            <w:r w:rsidRPr="00A93DDA">
              <w:rPr>
                <w:rFonts w:eastAsia="Times New Roman" w:cstheme="minorHAnsi"/>
                <w:b/>
                <w:bCs/>
                <w:sz w:val="28"/>
                <w:szCs w:val="28"/>
                <w:lang w:eastAsia="hu-HU"/>
              </w:rPr>
              <w:t>0.59</w:t>
            </w:r>
          </w:p>
        </w:tc>
      </w:tr>
    </w:tbl>
    <w:p w14:paraId="718E1F73" w14:textId="77777777" w:rsidR="00EF045B" w:rsidRPr="00A93DDA" w:rsidRDefault="00EF045B" w:rsidP="00EF045B">
      <w:pPr>
        <w:autoSpaceDE w:val="0"/>
        <w:autoSpaceDN w:val="0"/>
        <w:adjustRightInd w:val="0"/>
        <w:spacing w:line="360" w:lineRule="auto"/>
        <w:jc w:val="both"/>
      </w:pPr>
    </w:p>
    <w:p w14:paraId="74598605" w14:textId="77777777" w:rsidR="009A5DF8" w:rsidRPr="00A93DDA" w:rsidRDefault="009A5DF8" w:rsidP="00C931CD">
      <w:pPr>
        <w:autoSpaceDE w:val="0"/>
        <w:autoSpaceDN w:val="0"/>
        <w:adjustRightInd w:val="0"/>
        <w:spacing w:line="240" w:lineRule="auto"/>
        <w:jc w:val="both"/>
        <w:rPr>
          <w:rFonts w:cs="Calibri"/>
          <w:color w:val="000000"/>
          <w:sz w:val="22"/>
          <w:szCs w:val="22"/>
        </w:rPr>
        <w:sectPr w:rsidR="009A5DF8" w:rsidRPr="00A93DDA" w:rsidSect="009A5DF8">
          <w:type w:val="continuous"/>
          <w:pgSz w:w="11900" w:h="16840"/>
          <w:pgMar w:top="1680" w:right="1417" w:bottom="1417" w:left="1417" w:header="426" w:footer="596" w:gutter="0"/>
          <w:cols w:space="708"/>
          <w:titlePg/>
          <w:docGrid w:linePitch="360"/>
        </w:sectPr>
      </w:pPr>
    </w:p>
    <w:p w14:paraId="297768C7" w14:textId="3DB78FD9" w:rsidR="003E7ACF" w:rsidRPr="00A93DDA" w:rsidRDefault="00691E3B" w:rsidP="003E7ACF">
      <w:pPr>
        <w:autoSpaceDE w:val="0"/>
        <w:autoSpaceDN w:val="0"/>
        <w:adjustRightInd w:val="0"/>
        <w:spacing w:line="276" w:lineRule="auto"/>
        <w:jc w:val="both"/>
        <w:rPr>
          <w:sz w:val="22"/>
          <w:szCs w:val="22"/>
        </w:rPr>
      </w:pPr>
      <w:r w:rsidRPr="00A93DDA">
        <w:rPr>
          <w:rFonts w:cs="Calibri"/>
          <w:color w:val="000000"/>
          <w:sz w:val="22"/>
          <w:szCs w:val="22"/>
        </w:rPr>
        <w:t xml:space="preserve">Moreover, the REDI-scans indicate </w:t>
      </w:r>
      <w:r w:rsidR="006B7E64">
        <w:rPr>
          <w:rFonts w:cs="Calibri"/>
          <w:color w:val="000000"/>
          <w:sz w:val="22"/>
          <w:szCs w:val="22"/>
        </w:rPr>
        <w:t xml:space="preserve">that </w:t>
      </w:r>
      <w:r w:rsidRPr="00A93DDA">
        <w:rPr>
          <w:rFonts w:cs="Calibri"/>
          <w:color w:val="000000"/>
          <w:sz w:val="22"/>
          <w:szCs w:val="22"/>
        </w:rPr>
        <w:t xml:space="preserve">Italy should concentrate its efforts on improving some specific aspects of its entrepreneurial ecosystem. Table 1 above gives the more detailed breakdown or REDI-report card for the Centro-region. </w:t>
      </w:r>
      <w:r w:rsidR="009A5DF8" w:rsidRPr="00A93DDA">
        <w:rPr>
          <w:rFonts w:cs="Calibri"/>
          <w:color w:val="000000"/>
          <w:sz w:val="22"/>
          <w:szCs w:val="22"/>
        </w:rPr>
        <w:t xml:space="preserve">It turns out that the Italian regions are quite comparable in the relative strengths and weaknesses relative to other regions in Europe (see the other regions report cards in the full country report </w:t>
      </w:r>
      <w:hyperlink r:id="rId26" w:history="1">
        <w:r w:rsidR="009A5DF8" w:rsidRPr="00A93DDA">
          <w:rPr>
            <w:rStyle w:val="Hyperlink"/>
            <w:rFonts w:cs="Calibri"/>
            <w:sz w:val="22"/>
            <w:szCs w:val="22"/>
          </w:rPr>
          <w:t>here</w:t>
        </w:r>
      </w:hyperlink>
      <w:r w:rsidR="009A5DF8" w:rsidRPr="00A93DDA">
        <w:rPr>
          <w:rFonts w:cs="Calibri"/>
          <w:color w:val="000000"/>
          <w:sz w:val="22"/>
          <w:szCs w:val="22"/>
        </w:rPr>
        <w:t xml:space="preserve">). </w:t>
      </w:r>
      <w:r w:rsidR="00913051">
        <w:rPr>
          <w:sz w:val="22"/>
          <w:szCs w:val="22"/>
        </w:rPr>
        <w:t xml:space="preserve">We can </w:t>
      </w:r>
      <w:r w:rsidR="00913051">
        <w:rPr>
          <w:sz w:val="22"/>
          <w:szCs w:val="22"/>
        </w:rPr>
        <w:t xml:space="preserve">use table 1 to </w:t>
      </w:r>
      <w:r w:rsidR="003E7ACF" w:rsidRPr="00A93DDA">
        <w:rPr>
          <w:sz w:val="22"/>
          <w:szCs w:val="22"/>
        </w:rPr>
        <w:t>illustrate how this report card can be used to identify the areas in which institutional reform is urgently advised.</w:t>
      </w:r>
      <w:r w:rsidR="003E7ACF" w:rsidRPr="00A93DDA">
        <w:rPr>
          <w:rStyle w:val="FootnoteReference"/>
          <w:sz w:val="22"/>
          <w:szCs w:val="22"/>
        </w:rPr>
        <w:footnoteReference w:id="2"/>
      </w:r>
      <w:r w:rsidR="003E7ACF" w:rsidRPr="00A93DDA">
        <w:rPr>
          <w:sz w:val="22"/>
          <w:szCs w:val="22"/>
        </w:rPr>
        <w:t xml:space="preserve"> For example, the score on the pillar on “High Growth” signifies that in Centro the score on this pillar is only 12% of the highest score observed in 125 European NUTS-2/1 regions on this pillar. The pillar combines information on Clustering (0.40) in the region with the prevalence of Gazelle start-ups (0.38) among </w:t>
      </w:r>
      <w:r w:rsidR="003E7ACF" w:rsidRPr="00A93DDA">
        <w:rPr>
          <w:sz w:val="22"/>
          <w:szCs w:val="22"/>
        </w:rPr>
        <w:lastRenderedPageBreak/>
        <w:t xml:space="preserve">the new firms founded in the region. Using an algorithm that combines the scores on individual agency and institutional quality, a score per pillar, per sub-index and ultimately for the entire region is computed. At every level, the algorithm rewards a balanced development within and across pillars and punishes the score when bottlenecks are present. The low scores are marked red. </w:t>
      </w:r>
    </w:p>
    <w:p w14:paraId="64FB509D" w14:textId="06C2C79A" w:rsidR="003E7ACF" w:rsidRPr="00A93DDA" w:rsidRDefault="003E7ACF" w:rsidP="003E7ACF">
      <w:pPr>
        <w:autoSpaceDE w:val="0"/>
        <w:autoSpaceDN w:val="0"/>
        <w:adjustRightInd w:val="0"/>
        <w:spacing w:line="276" w:lineRule="auto"/>
        <w:jc w:val="both"/>
        <w:rPr>
          <w:sz w:val="22"/>
          <w:szCs w:val="22"/>
        </w:rPr>
      </w:pPr>
      <w:r w:rsidRPr="00A93DDA">
        <w:rPr>
          <w:sz w:val="22"/>
          <w:szCs w:val="22"/>
        </w:rPr>
        <w:t xml:space="preserve">In Entrepreneurial Aspirations, the low score on “High Growth” signals that in Centro the aspirations to found high growth firms are a constraint on high quality entrepreneurship in general. We see this bottleneck is also prevalent in other Italian regions, suggesting perhaps national policy action is called for. As the individual variables reflect responses of individuals to their institutional environment, this red flag suggests we should think about policy interventions and institutional reforms that promote cluster formation (as clusters tend to stimulate high growth start-ups in particular) but also other interventions that would stimulate firm growth, in particular in small and young firms. Labour market reforms as proposed under the recent “Jobs Act”, can for example be beneficial in removing the penalty on growth that is present in many firm size related social security and labour market protection provisions. It will probably take some time for such reforms and interventions to show up in the report card, as the numbers will only change when people respond to the new situation by starting more ambitious and successful firms. </w:t>
      </w:r>
      <w:r w:rsidR="00430E96">
        <w:rPr>
          <w:sz w:val="22"/>
          <w:szCs w:val="22"/>
        </w:rPr>
        <w:t>Still</w:t>
      </w:r>
      <w:r w:rsidRPr="00A93DDA">
        <w:rPr>
          <w:sz w:val="22"/>
          <w:szCs w:val="22"/>
        </w:rPr>
        <w:t xml:space="preserve"> </w:t>
      </w:r>
      <w:r w:rsidR="00430E96" w:rsidRPr="00A93DDA">
        <w:rPr>
          <w:sz w:val="22"/>
          <w:szCs w:val="22"/>
        </w:rPr>
        <w:t xml:space="preserve">the FIRES-consortium would suggest </w:t>
      </w:r>
      <w:r w:rsidR="00430E96">
        <w:rPr>
          <w:sz w:val="22"/>
          <w:szCs w:val="22"/>
        </w:rPr>
        <w:t xml:space="preserve">that </w:t>
      </w:r>
      <w:r w:rsidRPr="00A93DDA">
        <w:rPr>
          <w:sz w:val="22"/>
          <w:szCs w:val="22"/>
        </w:rPr>
        <w:t xml:space="preserve">such fundamental reforms are preferred over more direct but less fundamental policies that would boost the indicators directly. </w:t>
      </w:r>
    </w:p>
    <w:p w14:paraId="18508B54" w14:textId="77777777" w:rsidR="003E7ACF" w:rsidRPr="00A93DDA" w:rsidRDefault="003E7ACF" w:rsidP="003E7ACF">
      <w:pPr>
        <w:autoSpaceDE w:val="0"/>
        <w:autoSpaceDN w:val="0"/>
        <w:adjustRightInd w:val="0"/>
        <w:spacing w:line="276" w:lineRule="auto"/>
        <w:jc w:val="both"/>
        <w:rPr>
          <w:sz w:val="22"/>
          <w:szCs w:val="22"/>
        </w:rPr>
      </w:pPr>
      <w:r w:rsidRPr="00A93DDA">
        <w:rPr>
          <w:sz w:val="22"/>
          <w:szCs w:val="22"/>
        </w:rPr>
        <w:t>Similarly, the report card flags “Human Capital” and “Opportunity Driven Entrepreneurship” as weaknesses in the Entrepreneurial Abilities, whereas in Attitudes, the pillars “Networking” and “Cultural Support” reduce the overall quality of the entrepreneurial ecosystem. For human capital both educational level and training warrant attention, whereas for opportunity driven entrepreneurship it is especially the poor quality of the business environment that keeps the pillar down. Italian entrepreneurs seem to see opportunities, but are held back by deficient human capital and a daunting bureaucracy in starting up new ventures. To address these weaknesses, targeted interventions to improve the business environment will be needed, whereas reforms in the educational system are also urgent. Not because the Italian education system does not deliver high quality graduates, but because that quality does not seem to flow into entrepreneurial venturing</w:t>
      </w:r>
      <w:r w:rsidR="0077510F" w:rsidRPr="00A93DDA">
        <w:rPr>
          <w:rFonts w:cs="Calibri"/>
          <w:color w:val="000000"/>
          <w:sz w:val="22"/>
          <w:szCs w:val="22"/>
        </w:rPr>
        <w:t xml:space="preserve">, either as founders/ entrepreneurs or as employees. Recent efforts to liberalise the labour market have yet to show their effectiveness to improve this.  </w:t>
      </w:r>
    </w:p>
    <w:p w14:paraId="64FDC565" w14:textId="7D865BFF" w:rsidR="003E7ACF" w:rsidRPr="00A93DDA" w:rsidRDefault="003E7ACF" w:rsidP="003E7ACF">
      <w:pPr>
        <w:autoSpaceDE w:val="0"/>
        <w:autoSpaceDN w:val="0"/>
        <w:adjustRightInd w:val="0"/>
        <w:spacing w:line="276" w:lineRule="auto"/>
        <w:jc w:val="both"/>
        <w:rPr>
          <w:sz w:val="22"/>
          <w:szCs w:val="22"/>
        </w:rPr>
      </w:pPr>
      <w:r w:rsidRPr="00A93DDA">
        <w:rPr>
          <w:sz w:val="22"/>
          <w:szCs w:val="22"/>
        </w:rPr>
        <w:t>In Entrepreneurial Attitudes</w:t>
      </w:r>
      <w:r w:rsidR="009F4FDC">
        <w:rPr>
          <w:sz w:val="22"/>
          <w:szCs w:val="22"/>
        </w:rPr>
        <w:t>,</w:t>
      </w:r>
      <w:r w:rsidRPr="00A93DDA">
        <w:rPr>
          <w:sz w:val="22"/>
          <w:szCs w:val="22"/>
        </w:rPr>
        <w:t xml:space="preserve"> the pillar on </w:t>
      </w:r>
      <w:r w:rsidR="00913051">
        <w:rPr>
          <w:sz w:val="22"/>
          <w:szCs w:val="22"/>
        </w:rPr>
        <w:t>N</w:t>
      </w:r>
      <w:r w:rsidRPr="00A93DDA">
        <w:rPr>
          <w:sz w:val="22"/>
          <w:szCs w:val="22"/>
        </w:rPr>
        <w:t>etworking is weak because of a lack of successful role mo</w:t>
      </w:r>
      <w:r w:rsidR="00913051">
        <w:rPr>
          <w:sz w:val="22"/>
          <w:szCs w:val="22"/>
        </w:rPr>
        <w:t>dels (individual), whereas the Cultural S</w:t>
      </w:r>
      <w:r w:rsidRPr="00A93DDA">
        <w:rPr>
          <w:sz w:val="22"/>
          <w:szCs w:val="22"/>
        </w:rPr>
        <w:t>upport pillar is weakened by the low system wide score on “Open Society” that negates the relatively high score for career status. It is not straightforward to come up with ref</w:t>
      </w:r>
      <w:r w:rsidR="00913051">
        <w:rPr>
          <w:sz w:val="22"/>
          <w:szCs w:val="22"/>
        </w:rPr>
        <w:t>orms that improve these aspects</w:t>
      </w:r>
      <w:r w:rsidRPr="00A93DDA">
        <w:rPr>
          <w:sz w:val="22"/>
          <w:szCs w:val="22"/>
        </w:rPr>
        <w:t xml:space="preserve"> but below we will make some suggestions.</w:t>
      </w:r>
    </w:p>
    <w:p w14:paraId="419742AC" w14:textId="77777777" w:rsidR="00A22B3B" w:rsidRDefault="00691E3B" w:rsidP="00A22B3B">
      <w:pPr>
        <w:autoSpaceDE w:val="0"/>
        <w:autoSpaceDN w:val="0"/>
        <w:adjustRightInd w:val="0"/>
        <w:spacing w:line="276" w:lineRule="auto"/>
        <w:jc w:val="both"/>
        <w:rPr>
          <w:rFonts w:cs="Calibri"/>
          <w:color w:val="000000"/>
          <w:sz w:val="22"/>
          <w:szCs w:val="22"/>
        </w:rPr>
      </w:pPr>
      <w:r w:rsidRPr="00A93DDA">
        <w:rPr>
          <w:rFonts w:cs="Calibri"/>
          <w:color w:val="000000"/>
          <w:sz w:val="22"/>
          <w:szCs w:val="22"/>
        </w:rPr>
        <w:t xml:space="preserve">From our analysis of recent policies in Italy, we can conclude that the entrepreneurship policies, aimed primarily at supporting investment and diffusion of new technology in SMEs in manufacturing, has indeed paid off. </w:t>
      </w:r>
      <w:r w:rsidR="00A22B3B">
        <w:rPr>
          <w:rFonts w:cs="Calibri"/>
          <w:color w:val="000000"/>
          <w:sz w:val="22"/>
          <w:szCs w:val="22"/>
        </w:rPr>
        <w:t xml:space="preserve">Moreover, the set of measures embodied in </w:t>
      </w:r>
      <w:r w:rsidR="00A22B3B">
        <w:rPr>
          <w:rFonts w:cs="Calibri"/>
          <w:color w:val="000000"/>
          <w:sz w:val="22"/>
          <w:szCs w:val="22"/>
        </w:rPr>
        <w:lastRenderedPageBreak/>
        <w:t xml:space="preserve">the “Decreto Crescita 2.0” </w:t>
      </w:r>
      <w:r w:rsidR="00A22B3B" w:rsidRPr="00334BF5">
        <w:rPr>
          <w:rFonts w:cs="Calibri"/>
          <w:i/>
          <w:color w:val="000000"/>
          <w:sz w:val="22"/>
          <w:szCs w:val="22"/>
        </w:rPr>
        <w:t>(Italian Startup Act</w:t>
      </w:r>
      <w:r w:rsidR="00A22B3B">
        <w:rPr>
          <w:rFonts w:cs="Calibri"/>
          <w:color w:val="000000"/>
          <w:sz w:val="22"/>
          <w:szCs w:val="22"/>
        </w:rPr>
        <w:t>) launched  in the late 2012 surely represented a significant step forward.</w:t>
      </w:r>
    </w:p>
    <w:p w14:paraId="768A9026" w14:textId="77777777" w:rsidR="0077510F" w:rsidRPr="00A93DDA" w:rsidRDefault="00691E3B" w:rsidP="003E7ACF">
      <w:pPr>
        <w:autoSpaceDE w:val="0"/>
        <w:autoSpaceDN w:val="0"/>
        <w:adjustRightInd w:val="0"/>
        <w:spacing w:line="276" w:lineRule="auto"/>
        <w:jc w:val="both"/>
        <w:rPr>
          <w:rFonts w:cs="Calibri"/>
          <w:color w:val="000000"/>
          <w:sz w:val="22"/>
          <w:szCs w:val="22"/>
        </w:rPr>
      </w:pPr>
      <w:r w:rsidRPr="00A93DDA">
        <w:rPr>
          <w:rFonts w:cs="Calibri"/>
          <w:color w:val="000000"/>
          <w:sz w:val="22"/>
          <w:szCs w:val="22"/>
        </w:rPr>
        <w:t>But like an athlete training only some muscle groups, it seems Italy has ignored some other highly relevant aspects of the entrepreneurial ecosystem.</w:t>
      </w:r>
      <w:r w:rsidR="009A5DF8" w:rsidRPr="00A93DDA">
        <w:rPr>
          <w:rFonts w:cs="Calibri"/>
          <w:color w:val="000000"/>
          <w:sz w:val="22"/>
          <w:szCs w:val="22"/>
        </w:rPr>
        <w:t xml:space="preserve"> </w:t>
      </w:r>
      <w:r w:rsidRPr="00A93DDA">
        <w:rPr>
          <w:rFonts w:cs="Calibri"/>
          <w:color w:val="000000"/>
          <w:sz w:val="22"/>
          <w:szCs w:val="22"/>
        </w:rPr>
        <w:t xml:space="preserve">We will therefore propose some targeted interventions to strengthen these weaknesses and make Italy the all-round </w:t>
      </w:r>
      <w:r w:rsidRPr="00A93DDA">
        <w:rPr>
          <w:rFonts w:cs="Calibri"/>
          <w:color w:val="000000"/>
          <w:sz w:val="22"/>
          <w:szCs w:val="22"/>
        </w:rPr>
        <w:t>athlete it needs to be</w:t>
      </w:r>
      <w:r w:rsidR="003E7ACF" w:rsidRPr="00A93DDA">
        <w:rPr>
          <w:rFonts w:cs="Calibri"/>
          <w:color w:val="000000"/>
          <w:sz w:val="22"/>
          <w:szCs w:val="22"/>
        </w:rPr>
        <w:t>come</w:t>
      </w:r>
      <w:r w:rsidRPr="00A93DDA">
        <w:rPr>
          <w:rFonts w:cs="Calibri"/>
          <w:color w:val="000000"/>
          <w:sz w:val="22"/>
          <w:szCs w:val="22"/>
        </w:rPr>
        <w:t xml:space="preserve"> to perform better. Before one turns to treatments, however, it is also advised to listen to what the patient has to say. In a survey among 130 founders in Italy, we collected responses on a list of questions, of which the open question on barriers to founding gave us an opportunity to triangulate the information from the quantitative analysis with more qualitative information. </w:t>
      </w:r>
    </w:p>
    <w:p w14:paraId="3CC9078D" w14:textId="77777777" w:rsidR="0077510F" w:rsidRPr="00A93DDA" w:rsidRDefault="0077510F" w:rsidP="0077510F">
      <w:pPr>
        <w:sectPr w:rsidR="0077510F" w:rsidRPr="00A93DDA" w:rsidSect="00CF1E7E">
          <w:type w:val="continuous"/>
          <w:pgSz w:w="11900" w:h="16840"/>
          <w:pgMar w:top="1680" w:right="1417" w:bottom="1417" w:left="1417" w:header="426" w:footer="596" w:gutter="0"/>
          <w:cols w:num="2" w:space="708"/>
          <w:titlePg/>
          <w:docGrid w:linePitch="360"/>
        </w:sectPr>
      </w:pPr>
    </w:p>
    <w:p w14:paraId="07338EE8" w14:textId="77777777" w:rsidR="0077510F" w:rsidRPr="00A93DDA" w:rsidRDefault="0077510F" w:rsidP="0077510F"/>
    <w:p w14:paraId="5FFE1639" w14:textId="77777777" w:rsidR="0077510F" w:rsidRPr="00A93DDA" w:rsidRDefault="0077510F" w:rsidP="0077510F">
      <w:pPr>
        <w:pStyle w:val="Caption"/>
        <w:keepNext/>
      </w:pPr>
      <w:r w:rsidRPr="00A93DDA">
        <w:t xml:space="preserve">Table </w:t>
      </w:r>
      <w:r w:rsidRPr="00A93DDA">
        <w:fldChar w:fldCharType="begin"/>
      </w:r>
      <w:r w:rsidRPr="00A93DDA">
        <w:instrText xml:space="preserve"> SEQ Table \* ARABIC </w:instrText>
      </w:r>
      <w:r w:rsidRPr="00A93DDA">
        <w:fldChar w:fldCharType="separate"/>
      </w:r>
      <w:r w:rsidR="00C1320F">
        <w:rPr>
          <w:noProof/>
        </w:rPr>
        <w:t>2</w:t>
      </w:r>
      <w:r w:rsidRPr="00A93DDA">
        <w:fldChar w:fldCharType="end"/>
      </w:r>
      <w:r w:rsidRPr="00A93DDA">
        <w:t>: Responses Survey</w:t>
      </w:r>
    </w:p>
    <w:tbl>
      <w:tblPr>
        <w:tblW w:w="8805" w:type="dxa"/>
        <w:tblInd w:w="227" w:type="dxa"/>
        <w:tblLook w:val="04A0" w:firstRow="1" w:lastRow="0" w:firstColumn="1" w:lastColumn="0" w:noHBand="0" w:noVBand="1"/>
      </w:tblPr>
      <w:tblGrid>
        <w:gridCol w:w="7676"/>
        <w:gridCol w:w="1129"/>
      </w:tblGrid>
      <w:tr w:rsidR="0077510F" w:rsidRPr="00A93DDA" w14:paraId="1478774E" w14:textId="77777777" w:rsidTr="00A93DDA">
        <w:trPr>
          <w:trHeight w:val="640"/>
        </w:trPr>
        <w:tc>
          <w:tcPr>
            <w:tcW w:w="7676" w:type="dxa"/>
            <w:tcBorders>
              <w:top w:val="single" w:sz="4" w:space="0" w:color="auto"/>
              <w:left w:val="single" w:sz="4" w:space="0" w:color="auto"/>
              <w:bottom w:val="single" w:sz="4" w:space="0" w:color="auto"/>
              <w:right w:val="single" w:sz="4" w:space="0" w:color="auto"/>
            </w:tcBorders>
            <w:shd w:val="clear" w:color="auto" w:fill="001765" w:themeFill="text2" w:themeFillShade="BF"/>
            <w:vAlign w:val="center"/>
            <w:hideMark/>
          </w:tcPr>
          <w:p w14:paraId="31A76E89" w14:textId="77777777" w:rsidR="0077510F" w:rsidRPr="00A93DDA" w:rsidRDefault="0077510F" w:rsidP="00A93DDA">
            <w:pPr>
              <w:rPr>
                <w:rFonts w:eastAsia="Times New Roman"/>
                <w:b/>
                <w:bCs/>
                <w:color w:val="FFFFFF" w:themeColor="background1"/>
              </w:rPr>
            </w:pPr>
            <w:r w:rsidRPr="00A93DDA">
              <w:rPr>
                <w:rFonts w:eastAsia="Times New Roman"/>
                <w:b/>
                <w:bCs/>
                <w:color w:val="FFFFFF" w:themeColor="background1"/>
              </w:rPr>
              <w:t>Regulatory Obstacle</w:t>
            </w:r>
          </w:p>
        </w:tc>
        <w:tc>
          <w:tcPr>
            <w:tcW w:w="1129" w:type="dxa"/>
            <w:tcBorders>
              <w:top w:val="single" w:sz="4" w:space="0" w:color="auto"/>
              <w:left w:val="single" w:sz="4" w:space="0" w:color="auto"/>
              <w:bottom w:val="single" w:sz="4" w:space="0" w:color="auto"/>
              <w:right w:val="single" w:sz="4" w:space="0" w:color="auto"/>
            </w:tcBorders>
            <w:shd w:val="clear" w:color="auto" w:fill="001765" w:themeFill="text2" w:themeFillShade="BF"/>
            <w:vAlign w:val="center"/>
            <w:hideMark/>
          </w:tcPr>
          <w:p w14:paraId="7F4851D6" w14:textId="77777777" w:rsidR="0077510F" w:rsidRPr="00A93DDA" w:rsidRDefault="0077510F" w:rsidP="00A93DDA">
            <w:pPr>
              <w:rPr>
                <w:rFonts w:eastAsia="Times New Roman"/>
                <w:b/>
                <w:bCs/>
                <w:color w:val="FFFFFF" w:themeColor="background1"/>
              </w:rPr>
            </w:pPr>
            <w:r w:rsidRPr="00A93DDA">
              <w:rPr>
                <w:rFonts w:eastAsia="Times New Roman"/>
                <w:b/>
                <w:bCs/>
                <w:color w:val="FFFFFF" w:themeColor="background1"/>
              </w:rPr>
              <w:t>Times mentioned</w:t>
            </w:r>
          </w:p>
        </w:tc>
      </w:tr>
      <w:tr w:rsidR="0077510F" w:rsidRPr="00A93DDA" w14:paraId="77093B88" w14:textId="77777777" w:rsidTr="00A93DDA">
        <w:trPr>
          <w:trHeight w:val="670"/>
        </w:trPr>
        <w:tc>
          <w:tcPr>
            <w:tcW w:w="7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5A8DA" w14:textId="77777777" w:rsidR="0077510F" w:rsidRPr="00A93DDA" w:rsidRDefault="0077510F" w:rsidP="00A93DDA">
            <w:pPr>
              <w:rPr>
                <w:rFonts w:eastAsia="Times New Roman"/>
                <w:color w:val="000000"/>
              </w:rPr>
            </w:pPr>
            <w:r w:rsidRPr="00A93DDA">
              <w:rPr>
                <w:rFonts w:eastAsia="Times New Roman"/>
                <w:color w:val="000000"/>
              </w:rPr>
              <w:t>Which regulatory requirements did you perceive as major obstacles during venture creation?</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B91E7" w14:textId="77777777" w:rsidR="0077510F" w:rsidRPr="00A93DDA" w:rsidRDefault="0077510F" w:rsidP="00A93DDA">
            <w:pPr>
              <w:rPr>
                <w:rFonts w:eastAsia="Times New Roman"/>
                <w:color w:val="000000"/>
              </w:rPr>
            </w:pPr>
            <w:r w:rsidRPr="00A93DDA">
              <w:rPr>
                <w:rFonts w:eastAsia="Times New Roman"/>
                <w:color w:val="000000"/>
              </w:rPr>
              <w:t>131</w:t>
            </w:r>
          </w:p>
        </w:tc>
      </w:tr>
      <w:tr w:rsidR="0077510F" w:rsidRPr="00A93DDA" w14:paraId="1C9D80C6" w14:textId="77777777" w:rsidTr="00A93DDA">
        <w:trPr>
          <w:trHeight w:val="300"/>
        </w:trPr>
        <w:tc>
          <w:tcPr>
            <w:tcW w:w="7676"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383DD0D6" w14:textId="77777777" w:rsidR="0077510F" w:rsidRPr="00A93DDA" w:rsidRDefault="0077510F" w:rsidP="00A93DDA">
            <w:pPr>
              <w:rPr>
                <w:rFonts w:eastAsia="Times New Roman"/>
                <w:color w:val="000000"/>
              </w:rPr>
            </w:pPr>
            <w:r w:rsidRPr="00A93DDA">
              <w:rPr>
                <w:rFonts w:eastAsia="Times New Roman"/>
                <w:color w:val="000000"/>
              </w:rPr>
              <w:t xml:space="preserve">      None </w:t>
            </w:r>
          </w:p>
        </w:tc>
        <w:tc>
          <w:tcPr>
            <w:tcW w:w="1129" w:type="dxa"/>
            <w:tcBorders>
              <w:top w:val="single" w:sz="4" w:space="0" w:color="auto"/>
              <w:left w:val="nil"/>
              <w:bottom w:val="single" w:sz="4" w:space="0" w:color="auto"/>
              <w:right w:val="single" w:sz="4" w:space="0" w:color="auto"/>
            </w:tcBorders>
            <w:shd w:val="clear" w:color="000000" w:fill="FFC000"/>
            <w:vAlign w:val="center"/>
            <w:hideMark/>
          </w:tcPr>
          <w:p w14:paraId="3681621B" w14:textId="77777777" w:rsidR="0077510F" w:rsidRPr="00A93DDA" w:rsidRDefault="0077510F" w:rsidP="00A93DDA">
            <w:pPr>
              <w:rPr>
                <w:rFonts w:eastAsia="Times New Roman"/>
                <w:color w:val="000000"/>
              </w:rPr>
            </w:pPr>
            <w:r w:rsidRPr="00A93DDA">
              <w:rPr>
                <w:rFonts w:eastAsia="Times New Roman"/>
                <w:color w:val="000000"/>
              </w:rPr>
              <w:t>28</w:t>
            </w:r>
          </w:p>
        </w:tc>
      </w:tr>
      <w:tr w:rsidR="0077510F" w:rsidRPr="00A93DDA" w14:paraId="20451CE3" w14:textId="77777777" w:rsidTr="00A93DDA">
        <w:trPr>
          <w:trHeight w:val="300"/>
        </w:trPr>
        <w:tc>
          <w:tcPr>
            <w:tcW w:w="7676" w:type="dxa"/>
            <w:tcBorders>
              <w:top w:val="nil"/>
              <w:left w:val="single" w:sz="4" w:space="0" w:color="auto"/>
              <w:bottom w:val="single" w:sz="4" w:space="0" w:color="auto"/>
              <w:right w:val="single" w:sz="4" w:space="0" w:color="auto"/>
            </w:tcBorders>
            <w:shd w:val="clear" w:color="000000" w:fill="FFC000"/>
            <w:vAlign w:val="center"/>
            <w:hideMark/>
          </w:tcPr>
          <w:p w14:paraId="6161F309" w14:textId="77777777" w:rsidR="0077510F" w:rsidRPr="00A93DDA" w:rsidRDefault="0077510F" w:rsidP="00A93DDA">
            <w:pPr>
              <w:rPr>
                <w:rFonts w:eastAsia="Times New Roman"/>
                <w:color w:val="000000"/>
              </w:rPr>
            </w:pPr>
            <w:r w:rsidRPr="00A93DDA">
              <w:rPr>
                <w:rFonts w:eastAsia="Times New Roman"/>
                <w:color w:val="000000"/>
              </w:rPr>
              <w:t>      Difficulties with bureaucratic procedures</w:t>
            </w:r>
          </w:p>
        </w:tc>
        <w:tc>
          <w:tcPr>
            <w:tcW w:w="1129" w:type="dxa"/>
            <w:tcBorders>
              <w:top w:val="nil"/>
              <w:left w:val="nil"/>
              <w:bottom w:val="single" w:sz="4" w:space="0" w:color="auto"/>
              <w:right w:val="single" w:sz="4" w:space="0" w:color="auto"/>
            </w:tcBorders>
            <w:shd w:val="clear" w:color="000000" w:fill="FFC000"/>
            <w:vAlign w:val="center"/>
            <w:hideMark/>
          </w:tcPr>
          <w:p w14:paraId="05B58893" w14:textId="77777777" w:rsidR="0077510F" w:rsidRPr="00A93DDA" w:rsidRDefault="0077510F" w:rsidP="00A93DDA">
            <w:pPr>
              <w:rPr>
                <w:rFonts w:eastAsia="Times New Roman"/>
                <w:color w:val="000000"/>
              </w:rPr>
            </w:pPr>
            <w:r w:rsidRPr="00A93DDA">
              <w:rPr>
                <w:rFonts w:eastAsia="Times New Roman"/>
                <w:color w:val="000000"/>
              </w:rPr>
              <w:t>19</w:t>
            </w:r>
          </w:p>
        </w:tc>
      </w:tr>
      <w:tr w:rsidR="0077510F" w:rsidRPr="00A93DDA" w14:paraId="3E60A1C6" w14:textId="77777777" w:rsidTr="00D819B9">
        <w:trPr>
          <w:trHeight w:val="300"/>
        </w:trPr>
        <w:tc>
          <w:tcPr>
            <w:tcW w:w="7676" w:type="dxa"/>
            <w:tcBorders>
              <w:top w:val="nil"/>
              <w:left w:val="single" w:sz="4" w:space="0" w:color="auto"/>
              <w:bottom w:val="single" w:sz="4" w:space="0" w:color="auto"/>
              <w:right w:val="single" w:sz="4" w:space="0" w:color="auto"/>
            </w:tcBorders>
            <w:shd w:val="clear" w:color="000000" w:fill="FFC000"/>
            <w:vAlign w:val="center"/>
            <w:hideMark/>
          </w:tcPr>
          <w:p w14:paraId="1671EDC2" w14:textId="77777777" w:rsidR="0077510F" w:rsidRPr="00A93DDA" w:rsidRDefault="0077510F" w:rsidP="00A93DDA">
            <w:pPr>
              <w:rPr>
                <w:rFonts w:eastAsia="Times New Roman"/>
                <w:color w:val="000000"/>
              </w:rPr>
            </w:pPr>
            <w:r w:rsidRPr="00A93DDA">
              <w:rPr>
                <w:rFonts w:eastAsia="Times New Roman"/>
                <w:color w:val="000000"/>
              </w:rPr>
              <w:t>      No answer</w:t>
            </w:r>
          </w:p>
        </w:tc>
        <w:tc>
          <w:tcPr>
            <w:tcW w:w="1129" w:type="dxa"/>
            <w:tcBorders>
              <w:top w:val="nil"/>
              <w:left w:val="nil"/>
              <w:bottom w:val="single" w:sz="4" w:space="0" w:color="auto"/>
              <w:right w:val="single" w:sz="4" w:space="0" w:color="auto"/>
            </w:tcBorders>
            <w:shd w:val="clear" w:color="000000" w:fill="FFC000"/>
            <w:vAlign w:val="center"/>
            <w:hideMark/>
          </w:tcPr>
          <w:p w14:paraId="2BBAF548" w14:textId="77777777" w:rsidR="0077510F" w:rsidRPr="00A93DDA" w:rsidRDefault="0077510F" w:rsidP="00A93DDA">
            <w:pPr>
              <w:rPr>
                <w:rFonts w:eastAsia="Times New Roman"/>
                <w:color w:val="000000"/>
              </w:rPr>
            </w:pPr>
            <w:r w:rsidRPr="00A93DDA">
              <w:rPr>
                <w:rFonts w:eastAsia="Times New Roman"/>
                <w:color w:val="000000"/>
              </w:rPr>
              <w:t>13</w:t>
            </w:r>
          </w:p>
        </w:tc>
      </w:tr>
      <w:tr w:rsidR="0077510F" w:rsidRPr="00A93DDA" w14:paraId="735333DC" w14:textId="77777777" w:rsidTr="00D819B9">
        <w:trPr>
          <w:trHeight w:val="300"/>
        </w:trPr>
        <w:tc>
          <w:tcPr>
            <w:tcW w:w="7676" w:type="dxa"/>
            <w:tcBorders>
              <w:top w:val="single" w:sz="4" w:space="0" w:color="auto"/>
              <w:left w:val="single" w:sz="4" w:space="0" w:color="auto"/>
              <w:bottom w:val="single" w:sz="4" w:space="0" w:color="auto"/>
              <w:right w:val="single" w:sz="4" w:space="0" w:color="auto"/>
            </w:tcBorders>
            <w:shd w:val="clear" w:color="000000" w:fill="FCD86B" w:themeFill="accent3" w:themeFillTint="99"/>
            <w:vAlign w:val="center"/>
            <w:hideMark/>
          </w:tcPr>
          <w:p w14:paraId="1C2B01DF" w14:textId="77777777" w:rsidR="0077510F" w:rsidRPr="00A93DDA" w:rsidRDefault="0077510F" w:rsidP="00A93DDA">
            <w:pPr>
              <w:rPr>
                <w:rFonts w:eastAsia="Times New Roman"/>
                <w:color w:val="404040" w:themeColor="text1" w:themeTint="BF"/>
              </w:rPr>
            </w:pPr>
            <w:r w:rsidRPr="00A93DDA">
              <w:rPr>
                <w:rFonts w:eastAsia="Times New Roman"/>
                <w:color w:val="404040" w:themeColor="text1" w:themeTint="BF"/>
              </w:rPr>
              <w:t>      Taxes</w:t>
            </w:r>
          </w:p>
        </w:tc>
        <w:tc>
          <w:tcPr>
            <w:tcW w:w="1129" w:type="dxa"/>
            <w:tcBorders>
              <w:top w:val="single" w:sz="4" w:space="0" w:color="auto"/>
              <w:left w:val="nil"/>
              <w:bottom w:val="single" w:sz="4" w:space="0" w:color="auto"/>
              <w:right w:val="single" w:sz="4" w:space="0" w:color="auto"/>
            </w:tcBorders>
            <w:shd w:val="clear" w:color="000000" w:fill="FCD86B" w:themeFill="accent3" w:themeFillTint="99"/>
            <w:vAlign w:val="center"/>
            <w:hideMark/>
          </w:tcPr>
          <w:p w14:paraId="38F392CA" w14:textId="77777777" w:rsidR="0077510F" w:rsidRPr="00A93DDA" w:rsidRDefault="0077510F" w:rsidP="00A93DDA">
            <w:pPr>
              <w:rPr>
                <w:rFonts w:eastAsia="Times New Roman"/>
                <w:color w:val="404040" w:themeColor="text1" w:themeTint="BF"/>
              </w:rPr>
            </w:pPr>
            <w:r w:rsidRPr="00A93DDA">
              <w:rPr>
                <w:rFonts w:eastAsia="Times New Roman"/>
                <w:color w:val="404040" w:themeColor="text1" w:themeTint="BF"/>
              </w:rPr>
              <w:t>7</w:t>
            </w:r>
          </w:p>
        </w:tc>
      </w:tr>
      <w:tr w:rsidR="0077510F" w:rsidRPr="00A93DDA" w14:paraId="09510E83" w14:textId="77777777" w:rsidTr="00D819B9">
        <w:trPr>
          <w:trHeight w:val="300"/>
        </w:trPr>
        <w:tc>
          <w:tcPr>
            <w:tcW w:w="7676" w:type="dxa"/>
            <w:tcBorders>
              <w:top w:val="single" w:sz="4" w:space="0" w:color="auto"/>
              <w:left w:val="single" w:sz="4" w:space="0" w:color="auto"/>
              <w:bottom w:val="single" w:sz="4" w:space="0" w:color="auto"/>
              <w:right w:val="single" w:sz="4" w:space="0" w:color="auto"/>
            </w:tcBorders>
            <w:shd w:val="clear" w:color="000000" w:fill="FCD86B" w:themeFill="accent3" w:themeFillTint="99"/>
            <w:vAlign w:val="center"/>
            <w:hideMark/>
          </w:tcPr>
          <w:p w14:paraId="59F96F03" w14:textId="77777777" w:rsidR="0077510F" w:rsidRPr="00A93DDA" w:rsidRDefault="0077510F" w:rsidP="00A93DDA">
            <w:pPr>
              <w:rPr>
                <w:rFonts w:eastAsia="Times New Roman"/>
                <w:color w:val="404040" w:themeColor="text1" w:themeTint="BF"/>
              </w:rPr>
            </w:pPr>
            <w:r w:rsidRPr="00A93DDA">
              <w:rPr>
                <w:rFonts w:eastAsia="Times New Roman"/>
                <w:color w:val="404040" w:themeColor="text1" w:themeTint="BF"/>
              </w:rPr>
              <w:t>      Difficulties with obtaining finance</w:t>
            </w:r>
          </w:p>
        </w:tc>
        <w:tc>
          <w:tcPr>
            <w:tcW w:w="1129" w:type="dxa"/>
            <w:tcBorders>
              <w:top w:val="single" w:sz="4" w:space="0" w:color="auto"/>
              <w:left w:val="nil"/>
              <w:bottom w:val="single" w:sz="4" w:space="0" w:color="auto"/>
              <w:right w:val="single" w:sz="4" w:space="0" w:color="auto"/>
            </w:tcBorders>
            <w:shd w:val="clear" w:color="000000" w:fill="FCD86B" w:themeFill="accent3" w:themeFillTint="99"/>
            <w:vAlign w:val="center"/>
            <w:hideMark/>
          </w:tcPr>
          <w:p w14:paraId="5124BC1A" w14:textId="77777777" w:rsidR="0077510F" w:rsidRPr="00A93DDA" w:rsidRDefault="0077510F" w:rsidP="00A93DDA">
            <w:pPr>
              <w:rPr>
                <w:rFonts w:eastAsia="Times New Roman"/>
                <w:color w:val="404040" w:themeColor="text1" w:themeTint="BF"/>
              </w:rPr>
            </w:pPr>
            <w:r w:rsidRPr="00A93DDA">
              <w:rPr>
                <w:rFonts w:eastAsia="Times New Roman"/>
                <w:color w:val="404040" w:themeColor="text1" w:themeTint="BF"/>
              </w:rPr>
              <w:t>7</w:t>
            </w:r>
          </w:p>
        </w:tc>
      </w:tr>
      <w:tr w:rsidR="0077510F" w:rsidRPr="00A93DDA" w14:paraId="1C8FF4BF" w14:textId="77777777" w:rsidTr="00D819B9">
        <w:trPr>
          <w:trHeight w:val="300"/>
        </w:trPr>
        <w:tc>
          <w:tcPr>
            <w:tcW w:w="7676" w:type="dxa"/>
            <w:tcBorders>
              <w:top w:val="single" w:sz="4" w:space="0" w:color="auto"/>
              <w:left w:val="single" w:sz="4" w:space="0" w:color="auto"/>
              <w:bottom w:val="single" w:sz="4" w:space="0" w:color="auto"/>
              <w:right w:val="single" w:sz="4" w:space="0" w:color="auto"/>
            </w:tcBorders>
            <w:shd w:val="clear" w:color="000000" w:fill="FCD86B" w:themeFill="accent3" w:themeFillTint="99"/>
            <w:vAlign w:val="center"/>
            <w:hideMark/>
          </w:tcPr>
          <w:p w14:paraId="05A65BA2" w14:textId="77777777" w:rsidR="0077510F" w:rsidRPr="00A93DDA" w:rsidRDefault="0077510F" w:rsidP="00A93DDA">
            <w:pPr>
              <w:rPr>
                <w:rFonts w:eastAsia="Times New Roman"/>
                <w:color w:val="404040" w:themeColor="text1" w:themeTint="BF"/>
              </w:rPr>
            </w:pPr>
            <w:r w:rsidRPr="00A93DDA">
              <w:rPr>
                <w:rFonts w:eastAsia="Times New Roman"/>
                <w:color w:val="404040" w:themeColor="text1" w:themeTint="BF"/>
              </w:rPr>
              <w:t>      Lacking clarity regarding regulations</w:t>
            </w:r>
          </w:p>
        </w:tc>
        <w:tc>
          <w:tcPr>
            <w:tcW w:w="1129" w:type="dxa"/>
            <w:tcBorders>
              <w:top w:val="single" w:sz="4" w:space="0" w:color="auto"/>
              <w:left w:val="nil"/>
              <w:bottom w:val="single" w:sz="4" w:space="0" w:color="auto"/>
              <w:right w:val="single" w:sz="4" w:space="0" w:color="auto"/>
            </w:tcBorders>
            <w:shd w:val="clear" w:color="000000" w:fill="FCD86B" w:themeFill="accent3" w:themeFillTint="99"/>
            <w:vAlign w:val="center"/>
            <w:hideMark/>
          </w:tcPr>
          <w:p w14:paraId="5A16177D" w14:textId="77777777" w:rsidR="0077510F" w:rsidRPr="00A93DDA" w:rsidRDefault="0077510F" w:rsidP="00A93DDA">
            <w:pPr>
              <w:rPr>
                <w:rFonts w:eastAsia="Times New Roman"/>
                <w:color w:val="404040" w:themeColor="text1" w:themeTint="BF"/>
              </w:rPr>
            </w:pPr>
            <w:r w:rsidRPr="00A93DDA">
              <w:rPr>
                <w:rFonts w:eastAsia="Times New Roman"/>
                <w:color w:val="404040" w:themeColor="text1" w:themeTint="BF"/>
              </w:rPr>
              <w:t>5</w:t>
            </w:r>
          </w:p>
        </w:tc>
      </w:tr>
      <w:tr w:rsidR="0077510F" w:rsidRPr="00A93DDA" w14:paraId="2351B905" w14:textId="77777777" w:rsidTr="00D819B9">
        <w:trPr>
          <w:trHeight w:val="300"/>
        </w:trPr>
        <w:tc>
          <w:tcPr>
            <w:tcW w:w="7676" w:type="dxa"/>
            <w:tcBorders>
              <w:top w:val="single" w:sz="4" w:space="0" w:color="auto"/>
              <w:left w:val="single" w:sz="4" w:space="0" w:color="auto"/>
              <w:bottom w:val="single" w:sz="4" w:space="0" w:color="auto"/>
              <w:right w:val="single" w:sz="4" w:space="0" w:color="auto"/>
            </w:tcBorders>
            <w:shd w:val="clear" w:color="000000" w:fill="FCD86B" w:themeFill="accent3" w:themeFillTint="99"/>
            <w:vAlign w:val="center"/>
            <w:hideMark/>
          </w:tcPr>
          <w:p w14:paraId="59AD1129" w14:textId="77777777" w:rsidR="0077510F" w:rsidRPr="00A93DDA" w:rsidRDefault="0077510F" w:rsidP="00A93DDA">
            <w:pPr>
              <w:rPr>
                <w:rFonts w:eastAsia="Times New Roman"/>
                <w:color w:val="404040" w:themeColor="text1" w:themeTint="BF"/>
              </w:rPr>
            </w:pPr>
            <w:r w:rsidRPr="00A93DDA">
              <w:rPr>
                <w:rFonts w:eastAsia="Times New Roman"/>
                <w:color w:val="404040" w:themeColor="text1" w:themeTint="BF"/>
              </w:rPr>
              <w:t xml:space="preserve">      Constantly changing regulatory environment </w:t>
            </w:r>
          </w:p>
        </w:tc>
        <w:tc>
          <w:tcPr>
            <w:tcW w:w="1129" w:type="dxa"/>
            <w:tcBorders>
              <w:top w:val="single" w:sz="4" w:space="0" w:color="auto"/>
              <w:left w:val="nil"/>
              <w:bottom w:val="single" w:sz="4" w:space="0" w:color="auto"/>
              <w:right w:val="single" w:sz="4" w:space="0" w:color="auto"/>
            </w:tcBorders>
            <w:shd w:val="clear" w:color="000000" w:fill="FCD86B" w:themeFill="accent3" w:themeFillTint="99"/>
            <w:vAlign w:val="center"/>
            <w:hideMark/>
          </w:tcPr>
          <w:p w14:paraId="5F784090" w14:textId="77777777" w:rsidR="0077510F" w:rsidRPr="00A93DDA" w:rsidRDefault="0077510F" w:rsidP="00A93DDA">
            <w:pPr>
              <w:rPr>
                <w:rFonts w:eastAsia="Times New Roman"/>
                <w:color w:val="404040" w:themeColor="text1" w:themeTint="BF"/>
              </w:rPr>
            </w:pPr>
            <w:r w:rsidRPr="00A93DDA">
              <w:rPr>
                <w:rFonts w:eastAsia="Times New Roman"/>
                <w:color w:val="404040" w:themeColor="text1" w:themeTint="BF"/>
              </w:rPr>
              <w:t>5</w:t>
            </w:r>
          </w:p>
        </w:tc>
      </w:tr>
      <w:tr w:rsidR="0077510F" w:rsidRPr="00A93DDA" w14:paraId="133287C4" w14:textId="77777777" w:rsidTr="00D819B9">
        <w:trPr>
          <w:trHeight w:val="300"/>
        </w:trPr>
        <w:tc>
          <w:tcPr>
            <w:tcW w:w="7676" w:type="dxa"/>
            <w:tcBorders>
              <w:top w:val="single" w:sz="4" w:space="0" w:color="auto"/>
              <w:left w:val="single" w:sz="4" w:space="0" w:color="auto"/>
              <w:bottom w:val="single" w:sz="4" w:space="0" w:color="auto"/>
              <w:right w:val="single" w:sz="4" w:space="0" w:color="auto"/>
            </w:tcBorders>
            <w:shd w:val="clear" w:color="000000" w:fill="FCD86B" w:themeFill="accent3" w:themeFillTint="99"/>
            <w:vAlign w:val="center"/>
            <w:hideMark/>
          </w:tcPr>
          <w:p w14:paraId="1133AD17" w14:textId="77777777" w:rsidR="0077510F" w:rsidRPr="00A93DDA" w:rsidRDefault="0077510F" w:rsidP="00A93DDA">
            <w:pPr>
              <w:rPr>
                <w:rFonts w:eastAsia="Times New Roman"/>
                <w:color w:val="404040" w:themeColor="text1" w:themeTint="BF"/>
              </w:rPr>
            </w:pPr>
            <w:r w:rsidRPr="00A93DDA">
              <w:rPr>
                <w:rFonts w:eastAsia="Times New Roman"/>
                <w:color w:val="404040" w:themeColor="text1" w:themeTint="BF"/>
              </w:rPr>
              <w:t>      Safety regulations</w:t>
            </w:r>
          </w:p>
        </w:tc>
        <w:tc>
          <w:tcPr>
            <w:tcW w:w="1129" w:type="dxa"/>
            <w:tcBorders>
              <w:top w:val="single" w:sz="4" w:space="0" w:color="auto"/>
              <w:left w:val="nil"/>
              <w:bottom w:val="single" w:sz="4" w:space="0" w:color="auto"/>
              <w:right w:val="single" w:sz="4" w:space="0" w:color="auto"/>
            </w:tcBorders>
            <w:shd w:val="clear" w:color="000000" w:fill="FCD86B" w:themeFill="accent3" w:themeFillTint="99"/>
            <w:vAlign w:val="center"/>
            <w:hideMark/>
          </w:tcPr>
          <w:p w14:paraId="06840EA5" w14:textId="77777777" w:rsidR="0077510F" w:rsidRPr="00A93DDA" w:rsidRDefault="0077510F" w:rsidP="00A93DDA">
            <w:pPr>
              <w:rPr>
                <w:rFonts w:eastAsia="Times New Roman"/>
                <w:color w:val="404040" w:themeColor="text1" w:themeTint="BF"/>
              </w:rPr>
            </w:pPr>
            <w:r w:rsidRPr="00A93DDA">
              <w:rPr>
                <w:rFonts w:eastAsia="Times New Roman"/>
                <w:color w:val="404040" w:themeColor="text1" w:themeTint="BF"/>
              </w:rPr>
              <w:t>5</w:t>
            </w:r>
          </w:p>
        </w:tc>
      </w:tr>
      <w:tr w:rsidR="0077510F" w:rsidRPr="00A93DDA" w14:paraId="41509073" w14:textId="77777777" w:rsidTr="00D819B9">
        <w:trPr>
          <w:trHeight w:val="300"/>
        </w:trPr>
        <w:tc>
          <w:tcPr>
            <w:tcW w:w="7676" w:type="dxa"/>
            <w:tcBorders>
              <w:top w:val="single" w:sz="4" w:space="0" w:color="auto"/>
              <w:left w:val="single" w:sz="4" w:space="0" w:color="auto"/>
              <w:bottom w:val="single" w:sz="4" w:space="0" w:color="auto"/>
              <w:right w:val="single" w:sz="4" w:space="0" w:color="auto"/>
            </w:tcBorders>
            <w:shd w:val="clear" w:color="auto" w:fill="FDE59C" w:themeFill="accent3" w:themeFillTint="66"/>
            <w:vAlign w:val="center"/>
            <w:hideMark/>
          </w:tcPr>
          <w:p w14:paraId="148F2A0C" w14:textId="77777777" w:rsidR="0077510F" w:rsidRPr="00A93DDA" w:rsidRDefault="0077510F" w:rsidP="00A93DDA">
            <w:pPr>
              <w:rPr>
                <w:rFonts w:eastAsia="Times New Roman"/>
                <w:color w:val="7F7F7F" w:themeColor="text1" w:themeTint="80"/>
              </w:rPr>
            </w:pPr>
            <w:r w:rsidRPr="00A93DDA">
              <w:rPr>
                <w:rFonts w:eastAsia="Times New Roman"/>
                <w:color w:val="7F7F7F" w:themeColor="text1" w:themeTint="80"/>
              </w:rPr>
              <w:t xml:space="preserve">      Legal requirements to involve a notary </w:t>
            </w:r>
          </w:p>
        </w:tc>
        <w:tc>
          <w:tcPr>
            <w:tcW w:w="1129" w:type="dxa"/>
            <w:tcBorders>
              <w:top w:val="single" w:sz="4" w:space="0" w:color="auto"/>
              <w:left w:val="nil"/>
              <w:bottom w:val="single" w:sz="4" w:space="0" w:color="auto"/>
              <w:right w:val="single" w:sz="4" w:space="0" w:color="auto"/>
            </w:tcBorders>
            <w:shd w:val="clear" w:color="auto" w:fill="FDE59C" w:themeFill="accent3" w:themeFillTint="66"/>
            <w:vAlign w:val="center"/>
            <w:hideMark/>
          </w:tcPr>
          <w:p w14:paraId="534CB88B" w14:textId="77777777" w:rsidR="0077510F" w:rsidRPr="00A93DDA" w:rsidRDefault="0077510F" w:rsidP="00A93DDA">
            <w:pPr>
              <w:rPr>
                <w:rFonts w:eastAsia="Times New Roman"/>
                <w:color w:val="7F7F7F" w:themeColor="text1" w:themeTint="80"/>
              </w:rPr>
            </w:pPr>
            <w:r w:rsidRPr="00A93DDA">
              <w:rPr>
                <w:rFonts w:eastAsia="Times New Roman"/>
                <w:color w:val="7F7F7F" w:themeColor="text1" w:themeTint="80"/>
              </w:rPr>
              <w:t>4</w:t>
            </w:r>
          </w:p>
        </w:tc>
      </w:tr>
      <w:tr w:rsidR="0077510F" w:rsidRPr="00A93DDA" w14:paraId="03D356A8" w14:textId="77777777" w:rsidTr="00D819B9">
        <w:trPr>
          <w:trHeight w:val="300"/>
        </w:trPr>
        <w:tc>
          <w:tcPr>
            <w:tcW w:w="7676" w:type="dxa"/>
            <w:tcBorders>
              <w:top w:val="single" w:sz="4" w:space="0" w:color="auto"/>
              <w:left w:val="single" w:sz="4" w:space="0" w:color="auto"/>
              <w:bottom w:val="single" w:sz="4" w:space="0" w:color="auto"/>
              <w:right w:val="single" w:sz="4" w:space="0" w:color="auto"/>
            </w:tcBorders>
            <w:shd w:val="clear" w:color="auto" w:fill="FDE59C" w:themeFill="accent3" w:themeFillTint="66"/>
            <w:vAlign w:val="center"/>
            <w:hideMark/>
          </w:tcPr>
          <w:p w14:paraId="4AC27174" w14:textId="77777777" w:rsidR="0077510F" w:rsidRPr="00A93DDA" w:rsidRDefault="0077510F" w:rsidP="00A93DDA">
            <w:pPr>
              <w:rPr>
                <w:rFonts w:eastAsia="Times New Roman"/>
                <w:color w:val="7F7F7F" w:themeColor="text1" w:themeTint="80"/>
              </w:rPr>
            </w:pPr>
            <w:r w:rsidRPr="00A93DDA">
              <w:rPr>
                <w:rFonts w:eastAsia="Times New Roman"/>
                <w:color w:val="7F7F7F" w:themeColor="text1" w:themeTint="80"/>
              </w:rPr>
              <w:t>      Legal Initial Capital Requirements</w:t>
            </w:r>
          </w:p>
        </w:tc>
        <w:tc>
          <w:tcPr>
            <w:tcW w:w="1129" w:type="dxa"/>
            <w:tcBorders>
              <w:top w:val="single" w:sz="4" w:space="0" w:color="auto"/>
              <w:left w:val="nil"/>
              <w:bottom w:val="single" w:sz="4" w:space="0" w:color="auto"/>
              <w:right w:val="single" w:sz="4" w:space="0" w:color="auto"/>
            </w:tcBorders>
            <w:shd w:val="clear" w:color="auto" w:fill="FDE59C" w:themeFill="accent3" w:themeFillTint="66"/>
            <w:vAlign w:val="center"/>
            <w:hideMark/>
          </w:tcPr>
          <w:p w14:paraId="20875BA4" w14:textId="77777777" w:rsidR="0077510F" w:rsidRPr="00A93DDA" w:rsidRDefault="0077510F" w:rsidP="00A93DDA">
            <w:pPr>
              <w:rPr>
                <w:rFonts w:eastAsia="Times New Roman"/>
                <w:color w:val="7F7F7F" w:themeColor="text1" w:themeTint="80"/>
              </w:rPr>
            </w:pPr>
            <w:r w:rsidRPr="00A93DDA">
              <w:rPr>
                <w:rFonts w:eastAsia="Times New Roman"/>
                <w:color w:val="7F7F7F" w:themeColor="text1" w:themeTint="80"/>
              </w:rPr>
              <w:t>3</w:t>
            </w:r>
          </w:p>
        </w:tc>
      </w:tr>
      <w:tr w:rsidR="0077510F" w:rsidRPr="00A93DDA" w14:paraId="34755B7F" w14:textId="77777777" w:rsidTr="00D819B9">
        <w:trPr>
          <w:trHeight w:val="300"/>
        </w:trPr>
        <w:tc>
          <w:tcPr>
            <w:tcW w:w="7676" w:type="dxa"/>
            <w:tcBorders>
              <w:top w:val="single" w:sz="4" w:space="0" w:color="auto"/>
              <w:left w:val="single" w:sz="4" w:space="0" w:color="auto"/>
              <w:bottom w:val="single" w:sz="4" w:space="0" w:color="auto"/>
              <w:right w:val="single" w:sz="4" w:space="0" w:color="auto"/>
            </w:tcBorders>
            <w:shd w:val="clear" w:color="auto" w:fill="FDE59C" w:themeFill="accent3" w:themeFillTint="66"/>
            <w:vAlign w:val="center"/>
            <w:hideMark/>
          </w:tcPr>
          <w:p w14:paraId="5DB027B9" w14:textId="77777777" w:rsidR="0077510F" w:rsidRPr="00A93DDA" w:rsidRDefault="0077510F" w:rsidP="00A93DDA">
            <w:pPr>
              <w:rPr>
                <w:rFonts w:eastAsia="Times New Roman"/>
                <w:color w:val="7F7F7F" w:themeColor="text1" w:themeTint="80"/>
              </w:rPr>
            </w:pPr>
            <w:r w:rsidRPr="00A93DDA">
              <w:rPr>
                <w:rFonts w:eastAsia="Times New Roman"/>
                <w:color w:val="7F7F7F" w:themeColor="text1" w:themeTint="80"/>
              </w:rPr>
              <w:t xml:space="preserve">      Specific requirements related to energy sector </w:t>
            </w:r>
          </w:p>
        </w:tc>
        <w:tc>
          <w:tcPr>
            <w:tcW w:w="1129" w:type="dxa"/>
            <w:tcBorders>
              <w:top w:val="single" w:sz="4" w:space="0" w:color="auto"/>
              <w:left w:val="nil"/>
              <w:bottom w:val="single" w:sz="4" w:space="0" w:color="auto"/>
              <w:right w:val="single" w:sz="4" w:space="0" w:color="auto"/>
            </w:tcBorders>
            <w:shd w:val="clear" w:color="auto" w:fill="FDE59C" w:themeFill="accent3" w:themeFillTint="66"/>
            <w:vAlign w:val="center"/>
            <w:hideMark/>
          </w:tcPr>
          <w:p w14:paraId="49F0C2FE" w14:textId="77777777" w:rsidR="0077510F" w:rsidRPr="00A93DDA" w:rsidRDefault="0077510F" w:rsidP="00A93DDA">
            <w:pPr>
              <w:rPr>
                <w:rFonts w:eastAsia="Times New Roman"/>
                <w:color w:val="7F7F7F" w:themeColor="text1" w:themeTint="80"/>
              </w:rPr>
            </w:pPr>
            <w:r w:rsidRPr="00A93DDA">
              <w:rPr>
                <w:rFonts w:eastAsia="Times New Roman"/>
                <w:color w:val="7F7F7F" w:themeColor="text1" w:themeTint="80"/>
              </w:rPr>
              <w:t>3</w:t>
            </w:r>
          </w:p>
        </w:tc>
      </w:tr>
    </w:tbl>
    <w:p w14:paraId="1543ED15" w14:textId="77777777" w:rsidR="0077510F" w:rsidRPr="00A93DDA" w:rsidRDefault="0077510F" w:rsidP="003E7ACF">
      <w:pPr>
        <w:autoSpaceDE w:val="0"/>
        <w:autoSpaceDN w:val="0"/>
        <w:adjustRightInd w:val="0"/>
        <w:spacing w:line="276" w:lineRule="auto"/>
        <w:jc w:val="both"/>
        <w:rPr>
          <w:rFonts w:cs="Calibri"/>
          <w:color w:val="000000"/>
          <w:sz w:val="22"/>
          <w:szCs w:val="22"/>
        </w:rPr>
      </w:pPr>
    </w:p>
    <w:p w14:paraId="69EAFF37" w14:textId="77777777" w:rsidR="0077510F" w:rsidRPr="00A93DDA" w:rsidRDefault="0077510F" w:rsidP="003E7ACF">
      <w:pPr>
        <w:autoSpaceDE w:val="0"/>
        <w:autoSpaceDN w:val="0"/>
        <w:adjustRightInd w:val="0"/>
        <w:spacing w:line="276" w:lineRule="auto"/>
        <w:jc w:val="both"/>
        <w:rPr>
          <w:rFonts w:cs="Calibri"/>
          <w:color w:val="000000"/>
          <w:sz w:val="22"/>
          <w:szCs w:val="22"/>
        </w:rPr>
        <w:sectPr w:rsidR="0077510F" w:rsidRPr="00A93DDA" w:rsidSect="0077510F">
          <w:type w:val="continuous"/>
          <w:pgSz w:w="11900" w:h="16840"/>
          <w:pgMar w:top="1680" w:right="1417" w:bottom="1417" w:left="1417" w:header="426" w:footer="596" w:gutter="0"/>
          <w:cols w:space="708"/>
          <w:titlePg/>
          <w:docGrid w:linePitch="360"/>
        </w:sectPr>
      </w:pPr>
    </w:p>
    <w:p w14:paraId="774DD0D8" w14:textId="1E15E6E4" w:rsidR="0077510F" w:rsidRPr="00A93DDA" w:rsidRDefault="0077510F" w:rsidP="0077510F">
      <w:pPr>
        <w:spacing w:line="276" w:lineRule="auto"/>
        <w:jc w:val="both"/>
        <w:rPr>
          <w:sz w:val="22"/>
          <w:szCs w:val="22"/>
        </w:rPr>
      </w:pPr>
      <w:r w:rsidRPr="00A93DDA">
        <w:rPr>
          <w:rFonts w:cs="Calibri"/>
          <w:color w:val="000000"/>
          <w:sz w:val="22"/>
          <w:szCs w:val="22"/>
        </w:rPr>
        <w:t xml:space="preserve">After coding the answers, Table 2 presents the top-10 most mentioned issues in this open question. </w:t>
      </w:r>
      <w:r w:rsidR="00691E3B" w:rsidRPr="00A93DDA">
        <w:rPr>
          <w:rFonts w:cs="Calibri"/>
          <w:color w:val="000000"/>
          <w:sz w:val="22"/>
          <w:szCs w:val="22"/>
        </w:rPr>
        <w:t xml:space="preserve">First, we can conclude that the survey results largely confirm </w:t>
      </w:r>
      <w:r w:rsidRPr="00A93DDA">
        <w:rPr>
          <w:rFonts w:cs="Calibri"/>
          <w:color w:val="000000"/>
          <w:sz w:val="22"/>
          <w:szCs w:val="22"/>
        </w:rPr>
        <w:t>the picture that emerged</w:t>
      </w:r>
      <w:r w:rsidR="00142C63" w:rsidRPr="00A93DDA">
        <w:rPr>
          <w:rFonts w:cs="Calibri"/>
          <w:color w:val="000000"/>
          <w:sz w:val="22"/>
          <w:szCs w:val="22"/>
        </w:rPr>
        <w:t xml:space="preserve"> from the </w:t>
      </w:r>
      <w:r w:rsidR="002868CC">
        <w:rPr>
          <w:rFonts w:cs="Calibri"/>
          <w:color w:val="000000"/>
          <w:sz w:val="22"/>
          <w:szCs w:val="22"/>
        </w:rPr>
        <w:t>REDI-</w:t>
      </w:r>
      <w:r w:rsidR="00142C63" w:rsidRPr="00A93DDA">
        <w:rPr>
          <w:rFonts w:cs="Calibri"/>
          <w:color w:val="000000"/>
          <w:sz w:val="22"/>
          <w:szCs w:val="22"/>
        </w:rPr>
        <w:t xml:space="preserve">data. Italy has a challenging business environment due to a daunting and complex bureaucracy. As a consequence, entrepreneurs see few opportunities for high growth venturing and those that do </w:t>
      </w:r>
      <w:r w:rsidRPr="00A93DDA">
        <w:rPr>
          <w:rFonts w:cs="Calibri"/>
          <w:color w:val="000000"/>
          <w:sz w:val="22"/>
          <w:szCs w:val="22"/>
        </w:rPr>
        <w:t>start up</w:t>
      </w:r>
      <w:r w:rsidR="00142C63" w:rsidRPr="00A93DDA">
        <w:rPr>
          <w:rFonts w:cs="Calibri"/>
          <w:color w:val="000000"/>
          <w:sz w:val="22"/>
          <w:szCs w:val="22"/>
        </w:rPr>
        <w:t xml:space="preserve"> </w:t>
      </w:r>
      <w:r w:rsidRPr="00A93DDA">
        <w:rPr>
          <w:rFonts w:cs="Calibri"/>
          <w:color w:val="000000"/>
          <w:sz w:val="22"/>
          <w:szCs w:val="22"/>
        </w:rPr>
        <w:t xml:space="preserve">mention </w:t>
      </w:r>
      <w:r w:rsidR="00142C63" w:rsidRPr="00A93DDA">
        <w:rPr>
          <w:rFonts w:cs="Calibri"/>
          <w:color w:val="000000"/>
          <w:sz w:val="22"/>
          <w:szCs w:val="22"/>
        </w:rPr>
        <w:t xml:space="preserve">high taxation and limited access to financial resources </w:t>
      </w:r>
      <w:r w:rsidRPr="00A93DDA">
        <w:rPr>
          <w:rFonts w:cs="Calibri"/>
          <w:color w:val="000000"/>
          <w:sz w:val="22"/>
          <w:szCs w:val="22"/>
        </w:rPr>
        <w:t>as additional barriers to growth</w:t>
      </w:r>
      <w:r w:rsidR="00142C63" w:rsidRPr="00A93DDA">
        <w:rPr>
          <w:rFonts w:cs="Calibri"/>
          <w:color w:val="000000"/>
          <w:sz w:val="22"/>
          <w:szCs w:val="22"/>
        </w:rPr>
        <w:t>.</w:t>
      </w:r>
      <w:r w:rsidR="00691E3B" w:rsidRPr="00A93DDA">
        <w:rPr>
          <w:rFonts w:cs="Calibri"/>
          <w:color w:val="000000"/>
          <w:sz w:val="22"/>
          <w:szCs w:val="22"/>
        </w:rPr>
        <w:t xml:space="preserve"> </w:t>
      </w:r>
      <w:r w:rsidRPr="00A93DDA">
        <w:rPr>
          <w:sz w:val="22"/>
          <w:szCs w:val="22"/>
        </w:rPr>
        <w:t xml:space="preserve">In the top-10 we see that the founders confirm the problem of a </w:t>
      </w:r>
      <w:r w:rsidRPr="00A93DDA">
        <w:rPr>
          <w:sz w:val="22"/>
          <w:szCs w:val="22"/>
        </w:rPr>
        <w:t>poor quality business environment. Many mention bureaucracy and complicated legal and regulatory requirements to start a firm. It seems it is unclear how and rather complicated to start a venture in Italy. As we have argued in earlier reports, some barriers to entry can be justified and work to increase the quality of start-ups th</w:t>
      </w:r>
      <w:r w:rsidR="00430E96">
        <w:rPr>
          <w:sz w:val="22"/>
          <w:szCs w:val="22"/>
        </w:rPr>
        <w:t>at overcome such barriers. F</w:t>
      </w:r>
      <w:r w:rsidRPr="00A93DDA">
        <w:rPr>
          <w:sz w:val="22"/>
          <w:szCs w:val="22"/>
        </w:rPr>
        <w:t>rom the survey</w:t>
      </w:r>
      <w:r w:rsidR="00430E96">
        <w:rPr>
          <w:sz w:val="22"/>
          <w:szCs w:val="22"/>
        </w:rPr>
        <w:t>, however,</w:t>
      </w:r>
      <w:r w:rsidRPr="00A93DDA">
        <w:rPr>
          <w:sz w:val="22"/>
          <w:szCs w:val="22"/>
        </w:rPr>
        <w:t xml:space="preserve"> we </w:t>
      </w:r>
      <w:r w:rsidR="00430E96">
        <w:rPr>
          <w:sz w:val="22"/>
          <w:szCs w:val="22"/>
        </w:rPr>
        <w:t xml:space="preserve">do not </w:t>
      </w:r>
      <w:r w:rsidRPr="00A93DDA">
        <w:rPr>
          <w:sz w:val="22"/>
          <w:szCs w:val="22"/>
        </w:rPr>
        <w:t xml:space="preserve">get </w:t>
      </w:r>
      <w:r w:rsidR="00430E96">
        <w:rPr>
          <w:sz w:val="22"/>
          <w:szCs w:val="22"/>
        </w:rPr>
        <w:t xml:space="preserve">the impression that this is </w:t>
      </w:r>
      <w:r w:rsidRPr="00A93DDA">
        <w:rPr>
          <w:sz w:val="22"/>
          <w:szCs w:val="22"/>
        </w:rPr>
        <w:t xml:space="preserve">how </w:t>
      </w:r>
      <w:r w:rsidR="00430E96">
        <w:rPr>
          <w:sz w:val="22"/>
          <w:szCs w:val="22"/>
        </w:rPr>
        <w:t xml:space="preserve">the current </w:t>
      </w:r>
      <w:r w:rsidRPr="00A93DDA">
        <w:rPr>
          <w:sz w:val="22"/>
          <w:szCs w:val="22"/>
        </w:rPr>
        <w:t xml:space="preserve">Italian barriers to entry work. We should, however, not over interpret these results. The survey is </w:t>
      </w:r>
      <w:r w:rsidRPr="00A93DDA">
        <w:rPr>
          <w:sz w:val="22"/>
          <w:szCs w:val="22"/>
        </w:rPr>
        <w:lastRenderedPageBreak/>
        <w:t xml:space="preserve">useful in confirming and nuancing some of the results we obtained above. </w:t>
      </w:r>
    </w:p>
    <w:p w14:paraId="7F51F5F0" w14:textId="77777777" w:rsidR="00C931CD" w:rsidRPr="00A93DDA" w:rsidRDefault="00C931CD" w:rsidP="00CF717A">
      <w:pPr>
        <w:pStyle w:val="Heading2"/>
        <w:spacing w:before="240"/>
      </w:pPr>
      <w:r w:rsidRPr="00A93DDA">
        <w:t xml:space="preserve">Section 2: </w:t>
      </w:r>
      <w:r w:rsidR="00496821" w:rsidRPr="00A93DDA">
        <w:t>The proposed treatment</w:t>
      </w:r>
    </w:p>
    <w:p w14:paraId="7315BA1E" w14:textId="1EB06C5E" w:rsidR="00CE5B87" w:rsidRPr="00590D2F" w:rsidRDefault="0077510F" w:rsidP="00590D2F">
      <w:pPr>
        <w:spacing w:line="276" w:lineRule="auto"/>
        <w:jc w:val="both"/>
        <w:rPr>
          <w:sz w:val="22"/>
          <w:szCs w:val="22"/>
        </w:rPr>
        <w:sectPr w:rsidR="00CE5B87" w:rsidRPr="00590D2F" w:rsidSect="00CF1E7E">
          <w:type w:val="continuous"/>
          <w:pgSz w:w="11900" w:h="16840"/>
          <w:pgMar w:top="1680" w:right="1417" w:bottom="1417" w:left="1417" w:header="426" w:footer="596" w:gutter="0"/>
          <w:cols w:num="2" w:space="708"/>
          <w:titlePg/>
          <w:docGrid w:linePitch="360"/>
        </w:sectPr>
      </w:pPr>
      <w:r w:rsidRPr="00A93DDA">
        <w:rPr>
          <w:sz w:val="22"/>
          <w:szCs w:val="22"/>
        </w:rPr>
        <w:t xml:space="preserve">In </w:t>
      </w:r>
      <w:r w:rsidR="00103813" w:rsidRPr="00A93DDA">
        <w:rPr>
          <w:sz w:val="22"/>
          <w:szCs w:val="22"/>
        </w:rPr>
        <w:t>our report</w:t>
      </w:r>
      <w:r w:rsidRPr="00A93DDA">
        <w:rPr>
          <w:sz w:val="22"/>
          <w:szCs w:val="22"/>
        </w:rPr>
        <w:t xml:space="preserve"> we have considered the medical history of the patient, used an advanced diagnostic tool to scan for her health problems and asked the patient how she felt. </w:t>
      </w:r>
      <w:r w:rsidR="007223FF">
        <w:rPr>
          <w:sz w:val="22"/>
          <w:szCs w:val="22"/>
        </w:rPr>
        <w:t xml:space="preserve">It is not </w:t>
      </w:r>
      <w:r w:rsidR="007223FF">
        <w:rPr>
          <w:sz w:val="22"/>
          <w:szCs w:val="22"/>
        </w:rPr>
        <w:t>uncommon for patients to also suggest remedies and treatments themselves. In our survey among Italian founders, we also posed the open question: “</w:t>
      </w:r>
      <w:r w:rsidR="007223FF" w:rsidRPr="007223FF">
        <w:rPr>
          <w:sz w:val="22"/>
          <w:szCs w:val="22"/>
        </w:rPr>
        <w:t>In your view, what could policy-makers do to facilitate venture creation</w:t>
      </w:r>
      <w:r w:rsidR="007223FF">
        <w:rPr>
          <w:sz w:val="22"/>
          <w:szCs w:val="22"/>
        </w:rPr>
        <w:t xml:space="preserve">?” The results of that survey were coded and the nine answers that were mentioned more than twice are listed in Table 3. </w:t>
      </w:r>
    </w:p>
    <w:p w14:paraId="1EA8E06A" w14:textId="77777777" w:rsidR="00590D2F" w:rsidRDefault="00590D2F" w:rsidP="00CE5B87">
      <w:pPr>
        <w:pStyle w:val="Caption"/>
        <w:keepNext/>
      </w:pPr>
    </w:p>
    <w:p w14:paraId="1F68A8D4" w14:textId="7FDEBA95" w:rsidR="00CE5B87" w:rsidRPr="00A93DDA" w:rsidRDefault="00CE5B87" w:rsidP="00CE5B87">
      <w:pPr>
        <w:pStyle w:val="Caption"/>
        <w:keepNext/>
      </w:pPr>
      <w:r w:rsidRPr="00A93DDA">
        <w:t xml:space="preserve">Table </w:t>
      </w:r>
      <w:r w:rsidRPr="00A93DDA">
        <w:fldChar w:fldCharType="begin"/>
      </w:r>
      <w:r w:rsidRPr="00A93DDA">
        <w:instrText xml:space="preserve"> SEQ Table \* ARABIC </w:instrText>
      </w:r>
      <w:r w:rsidRPr="00A93DDA">
        <w:fldChar w:fldCharType="separate"/>
      </w:r>
      <w:r>
        <w:rPr>
          <w:noProof/>
        </w:rPr>
        <w:t>3</w:t>
      </w:r>
      <w:r w:rsidRPr="00A93DDA">
        <w:fldChar w:fldCharType="end"/>
      </w:r>
      <w:r w:rsidRPr="00A93DDA">
        <w:t>: Responses Survey</w:t>
      </w:r>
    </w:p>
    <w:tbl>
      <w:tblPr>
        <w:tblW w:w="8805" w:type="dxa"/>
        <w:tblInd w:w="227" w:type="dxa"/>
        <w:tblLook w:val="04A0" w:firstRow="1" w:lastRow="0" w:firstColumn="1" w:lastColumn="0" w:noHBand="0" w:noVBand="1"/>
      </w:tblPr>
      <w:tblGrid>
        <w:gridCol w:w="7676"/>
        <w:gridCol w:w="1129"/>
      </w:tblGrid>
      <w:tr w:rsidR="00CE5B87" w:rsidRPr="00A93DDA" w14:paraId="077043BC" w14:textId="77777777" w:rsidTr="00CE5B87">
        <w:trPr>
          <w:trHeight w:val="640"/>
        </w:trPr>
        <w:tc>
          <w:tcPr>
            <w:tcW w:w="7676" w:type="dxa"/>
            <w:tcBorders>
              <w:top w:val="single" w:sz="4" w:space="0" w:color="auto"/>
              <w:left w:val="single" w:sz="4" w:space="0" w:color="auto"/>
              <w:bottom w:val="single" w:sz="4" w:space="0" w:color="auto"/>
              <w:right w:val="single" w:sz="4" w:space="0" w:color="auto"/>
            </w:tcBorders>
            <w:shd w:val="clear" w:color="auto" w:fill="001765" w:themeFill="text2" w:themeFillShade="BF"/>
            <w:vAlign w:val="center"/>
            <w:hideMark/>
          </w:tcPr>
          <w:p w14:paraId="0D218B82" w14:textId="18514AA5" w:rsidR="00CE5B87" w:rsidRPr="00A93DDA" w:rsidRDefault="007223FF" w:rsidP="00CE5B87">
            <w:pPr>
              <w:rPr>
                <w:rFonts w:eastAsia="Times New Roman"/>
                <w:b/>
                <w:bCs/>
                <w:color w:val="FFFFFF" w:themeColor="background1"/>
              </w:rPr>
            </w:pPr>
            <w:r>
              <w:rPr>
                <w:rFonts w:eastAsia="Times New Roman"/>
                <w:b/>
                <w:bCs/>
                <w:color w:val="FFFFFF" w:themeColor="background1"/>
              </w:rPr>
              <w:t>Policy Suggestions</w:t>
            </w:r>
          </w:p>
        </w:tc>
        <w:tc>
          <w:tcPr>
            <w:tcW w:w="1129" w:type="dxa"/>
            <w:tcBorders>
              <w:top w:val="single" w:sz="4" w:space="0" w:color="auto"/>
              <w:left w:val="single" w:sz="4" w:space="0" w:color="auto"/>
              <w:bottom w:val="single" w:sz="4" w:space="0" w:color="auto"/>
              <w:right w:val="single" w:sz="4" w:space="0" w:color="auto"/>
            </w:tcBorders>
            <w:shd w:val="clear" w:color="auto" w:fill="001765" w:themeFill="text2" w:themeFillShade="BF"/>
            <w:vAlign w:val="center"/>
            <w:hideMark/>
          </w:tcPr>
          <w:p w14:paraId="5AF1C06F" w14:textId="77777777" w:rsidR="00CE5B87" w:rsidRPr="00A93DDA" w:rsidRDefault="00CE5B87" w:rsidP="00CE5B87">
            <w:pPr>
              <w:rPr>
                <w:rFonts w:eastAsia="Times New Roman"/>
                <w:b/>
                <w:bCs/>
                <w:color w:val="FFFFFF" w:themeColor="background1"/>
              </w:rPr>
            </w:pPr>
            <w:r w:rsidRPr="00A93DDA">
              <w:rPr>
                <w:rFonts w:eastAsia="Times New Roman"/>
                <w:b/>
                <w:bCs/>
                <w:color w:val="FFFFFF" w:themeColor="background1"/>
              </w:rPr>
              <w:t>Times mentioned</w:t>
            </w:r>
          </w:p>
        </w:tc>
      </w:tr>
      <w:tr w:rsidR="00CE5B87" w:rsidRPr="00A93DDA" w14:paraId="0618DD0E" w14:textId="77777777" w:rsidTr="00CE5B87">
        <w:trPr>
          <w:trHeight w:val="670"/>
        </w:trPr>
        <w:tc>
          <w:tcPr>
            <w:tcW w:w="7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33BDD" w14:textId="11CECF86" w:rsidR="00CE5B87" w:rsidRPr="00A93DDA" w:rsidRDefault="007223FF" w:rsidP="00CE5B87">
            <w:pPr>
              <w:rPr>
                <w:rFonts w:eastAsia="Times New Roman"/>
                <w:color w:val="000000"/>
              </w:rPr>
            </w:pPr>
            <w:r>
              <w:rPr>
                <w:rFonts w:eastAsia="Times New Roman"/>
                <w:color w:val="000000"/>
              </w:rPr>
              <w:t>What could the government do to promote new venture creation in Italy</w:t>
            </w:r>
            <w:r w:rsidR="00CE5B87" w:rsidRPr="00A93DDA">
              <w:rPr>
                <w:rFonts w:eastAsia="Times New Roman"/>
                <w:color w:val="000000"/>
              </w:rPr>
              <w:t>?</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C92CF" w14:textId="4A4BD407" w:rsidR="00CE5B87" w:rsidRPr="00A93DDA" w:rsidRDefault="007223FF" w:rsidP="00CE5B87">
            <w:pPr>
              <w:rPr>
                <w:rFonts w:eastAsia="Times New Roman"/>
                <w:color w:val="000000"/>
              </w:rPr>
            </w:pPr>
            <w:r>
              <w:rPr>
                <w:rFonts w:eastAsia="Times New Roman"/>
                <w:color w:val="000000"/>
              </w:rPr>
              <w:t>99</w:t>
            </w:r>
          </w:p>
        </w:tc>
      </w:tr>
      <w:tr w:rsidR="007223FF" w:rsidRPr="00A93DDA" w14:paraId="6645785A" w14:textId="77777777" w:rsidTr="00CE5B87">
        <w:trPr>
          <w:trHeight w:val="300"/>
        </w:trPr>
        <w:tc>
          <w:tcPr>
            <w:tcW w:w="7676"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02E50B00" w14:textId="4612D955" w:rsidR="007223FF" w:rsidRPr="007223FF" w:rsidRDefault="007223FF" w:rsidP="007223FF">
            <w:pPr>
              <w:rPr>
                <w:rFonts w:asciiTheme="minorHAnsi" w:eastAsia="Times New Roman" w:hAnsiTheme="minorHAnsi" w:cstheme="minorHAnsi"/>
                <w:color w:val="000000"/>
              </w:rPr>
            </w:pPr>
            <w:r w:rsidRPr="007223FF">
              <w:rPr>
                <w:rFonts w:asciiTheme="minorHAnsi" w:hAnsiTheme="minorHAnsi" w:cstheme="minorHAnsi"/>
                <w:color w:val="000000"/>
                <w:lang w:val="en-US"/>
              </w:rPr>
              <w:t xml:space="preserve">      Reduce bureaucracy </w:t>
            </w:r>
          </w:p>
        </w:tc>
        <w:tc>
          <w:tcPr>
            <w:tcW w:w="1129" w:type="dxa"/>
            <w:tcBorders>
              <w:top w:val="single" w:sz="4" w:space="0" w:color="auto"/>
              <w:left w:val="nil"/>
              <w:bottom w:val="single" w:sz="4" w:space="0" w:color="auto"/>
              <w:right w:val="single" w:sz="4" w:space="0" w:color="auto"/>
            </w:tcBorders>
            <w:shd w:val="clear" w:color="000000" w:fill="FFC000"/>
            <w:vAlign w:val="center"/>
            <w:hideMark/>
          </w:tcPr>
          <w:p w14:paraId="27E3B939" w14:textId="3A56B557" w:rsidR="007223FF" w:rsidRPr="007223FF" w:rsidRDefault="007223FF" w:rsidP="007223FF">
            <w:pPr>
              <w:rPr>
                <w:rFonts w:asciiTheme="minorHAnsi" w:eastAsia="Times New Roman" w:hAnsiTheme="minorHAnsi" w:cstheme="minorHAnsi"/>
                <w:color w:val="000000"/>
              </w:rPr>
            </w:pPr>
            <w:r w:rsidRPr="007223FF">
              <w:rPr>
                <w:rFonts w:asciiTheme="minorHAnsi" w:hAnsiTheme="minorHAnsi" w:cstheme="minorHAnsi"/>
                <w:color w:val="000000"/>
                <w:lang w:val="en-US"/>
              </w:rPr>
              <w:t>21</w:t>
            </w:r>
          </w:p>
        </w:tc>
      </w:tr>
      <w:tr w:rsidR="007223FF" w:rsidRPr="00A93DDA" w14:paraId="5D44CDF1" w14:textId="77777777" w:rsidTr="00CE5B87">
        <w:trPr>
          <w:trHeight w:val="300"/>
        </w:trPr>
        <w:tc>
          <w:tcPr>
            <w:tcW w:w="7676" w:type="dxa"/>
            <w:tcBorders>
              <w:top w:val="nil"/>
              <w:left w:val="single" w:sz="4" w:space="0" w:color="auto"/>
              <w:bottom w:val="single" w:sz="4" w:space="0" w:color="auto"/>
              <w:right w:val="single" w:sz="4" w:space="0" w:color="auto"/>
            </w:tcBorders>
            <w:shd w:val="clear" w:color="000000" w:fill="FFC000"/>
            <w:vAlign w:val="center"/>
            <w:hideMark/>
          </w:tcPr>
          <w:p w14:paraId="122711D4" w14:textId="5C28771B" w:rsidR="007223FF" w:rsidRPr="007223FF" w:rsidRDefault="007223FF" w:rsidP="007223FF">
            <w:pPr>
              <w:rPr>
                <w:rFonts w:asciiTheme="minorHAnsi" w:eastAsia="Times New Roman" w:hAnsiTheme="minorHAnsi" w:cstheme="minorHAnsi"/>
                <w:color w:val="000000"/>
              </w:rPr>
            </w:pPr>
            <w:r w:rsidRPr="007223FF">
              <w:rPr>
                <w:rFonts w:asciiTheme="minorHAnsi" w:hAnsiTheme="minorHAnsi" w:cstheme="minorHAnsi"/>
                <w:color w:val="000000"/>
                <w:lang w:val="en-US"/>
              </w:rPr>
              <w:t xml:space="preserve">      Facilitate financing for small businesses </w:t>
            </w:r>
          </w:p>
        </w:tc>
        <w:tc>
          <w:tcPr>
            <w:tcW w:w="1129" w:type="dxa"/>
            <w:tcBorders>
              <w:top w:val="nil"/>
              <w:left w:val="nil"/>
              <w:bottom w:val="single" w:sz="4" w:space="0" w:color="auto"/>
              <w:right w:val="single" w:sz="4" w:space="0" w:color="auto"/>
            </w:tcBorders>
            <w:shd w:val="clear" w:color="000000" w:fill="FFC000"/>
            <w:vAlign w:val="center"/>
            <w:hideMark/>
          </w:tcPr>
          <w:p w14:paraId="7FE3B286" w14:textId="25D2F346" w:rsidR="007223FF" w:rsidRPr="007223FF" w:rsidRDefault="007223FF" w:rsidP="007223FF">
            <w:pPr>
              <w:rPr>
                <w:rFonts w:asciiTheme="minorHAnsi" w:eastAsia="Times New Roman" w:hAnsiTheme="minorHAnsi" w:cstheme="minorHAnsi"/>
                <w:color w:val="000000"/>
              </w:rPr>
            </w:pPr>
            <w:r w:rsidRPr="007223FF">
              <w:rPr>
                <w:rFonts w:asciiTheme="minorHAnsi" w:hAnsiTheme="minorHAnsi" w:cstheme="minorHAnsi"/>
                <w:color w:val="000000"/>
                <w:lang w:val="en-US"/>
              </w:rPr>
              <w:t>16</w:t>
            </w:r>
          </w:p>
        </w:tc>
      </w:tr>
      <w:tr w:rsidR="007223FF" w:rsidRPr="00A93DDA" w14:paraId="60D67EC5" w14:textId="77777777" w:rsidTr="007223FF">
        <w:trPr>
          <w:trHeight w:val="300"/>
        </w:trPr>
        <w:tc>
          <w:tcPr>
            <w:tcW w:w="7676" w:type="dxa"/>
            <w:tcBorders>
              <w:top w:val="nil"/>
              <w:left w:val="single" w:sz="4" w:space="0" w:color="auto"/>
              <w:bottom w:val="single" w:sz="4" w:space="0" w:color="auto"/>
              <w:right w:val="single" w:sz="4" w:space="0" w:color="auto"/>
            </w:tcBorders>
            <w:shd w:val="clear" w:color="auto" w:fill="FCD86B" w:themeFill="accent3" w:themeFillTint="99"/>
            <w:vAlign w:val="center"/>
            <w:hideMark/>
          </w:tcPr>
          <w:p w14:paraId="339D7BC8" w14:textId="176E2FDC" w:rsidR="007223FF" w:rsidRPr="007223FF" w:rsidRDefault="007223FF" w:rsidP="007223FF">
            <w:pPr>
              <w:rPr>
                <w:rFonts w:asciiTheme="minorHAnsi" w:eastAsia="Times New Roman" w:hAnsiTheme="minorHAnsi" w:cstheme="minorHAnsi"/>
                <w:color w:val="404040" w:themeColor="text1" w:themeTint="BF"/>
              </w:rPr>
            </w:pPr>
            <w:r w:rsidRPr="007223FF">
              <w:rPr>
                <w:rFonts w:asciiTheme="minorHAnsi" w:hAnsiTheme="minorHAnsi" w:cstheme="minorHAnsi"/>
                <w:color w:val="404040" w:themeColor="text1" w:themeTint="BF"/>
                <w:lang w:val="en-US"/>
              </w:rPr>
              <w:t xml:space="preserve">      Reduce time and difficulty of bureaucracy through online procedure </w:t>
            </w:r>
          </w:p>
        </w:tc>
        <w:tc>
          <w:tcPr>
            <w:tcW w:w="1129" w:type="dxa"/>
            <w:tcBorders>
              <w:top w:val="nil"/>
              <w:left w:val="nil"/>
              <w:bottom w:val="single" w:sz="4" w:space="0" w:color="auto"/>
              <w:right w:val="single" w:sz="4" w:space="0" w:color="auto"/>
            </w:tcBorders>
            <w:shd w:val="clear" w:color="auto" w:fill="FCD86B" w:themeFill="accent3" w:themeFillTint="99"/>
            <w:vAlign w:val="center"/>
            <w:hideMark/>
          </w:tcPr>
          <w:p w14:paraId="3BA26A58" w14:textId="2133EBE9" w:rsidR="007223FF" w:rsidRPr="007223FF" w:rsidRDefault="007223FF" w:rsidP="007223FF">
            <w:pPr>
              <w:rPr>
                <w:rFonts w:asciiTheme="minorHAnsi" w:eastAsia="Times New Roman" w:hAnsiTheme="minorHAnsi" w:cstheme="minorHAnsi"/>
                <w:color w:val="000000"/>
              </w:rPr>
            </w:pPr>
            <w:r w:rsidRPr="007223FF">
              <w:rPr>
                <w:rFonts w:asciiTheme="minorHAnsi" w:hAnsiTheme="minorHAnsi" w:cstheme="minorHAnsi"/>
                <w:color w:val="000000"/>
                <w:lang w:val="en-US"/>
              </w:rPr>
              <w:t>7</w:t>
            </w:r>
          </w:p>
        </w:tc>
      </w:tr>
      <w:tr w:rsidR="007223FF" w:rsidRPr="00A93DDA" w14:paraId="09562B5E" w14:textId="77777777" w:rsidTr="007223FF">
        <w:trPr>
          <w:trHeight w:val="300"/>
        </w:trPr>
        <w:tc>
          <w:tcPr>
            <w:tcW w:w="7676" w:type="dxa"/>
            <w:tcBorders>
              <w:top w:val="single" w:sz="4" w:space="0" w:color="auto"/>
              <w:left w:val="single" w:sz="4" w:space="0" w:color="auto"/>
              <w:bottom w:val="single" w:sz="4" w:space="0" w:color="auto"/>
              <w:right w:val="single" w:sz="4" w:space="0" w:color="auto"/>
            </w:tcBorders>
            <w:shd w:val="clear" w:color="auto" w:fill="FCD86B" w:themeFill="accent3" w:themeFillTint="99"/>
            <w:vAlign w:val="center"/>
            <w:hideMark/>
          </w:tcPr>
          <w:p w14:paraId="1FCA2C60" w14:textId="792ED7B8" w:rsidR="007223FF" w:rsidRPr="007223FF" w:rsidRDefault="007223FF" w:rsidP="007223FF">
            <w:pPr>
              <w:rPr>
                <w:rFonts w:asciiTheme="minorHAnsi" w:eastAsia="Times New Roman" w:hAnsiTheme="minorHAnsi" w:cstheme="minorHAnsi"/>
                <w:color w:val="404040" w:themeColor="text1" w:themeTint="BF"/>
              </w:rPr>
            </w:pPr>
            <w:r w:rsidRPr="007223FF">
              <w:rPr>
                <w:rFonts w:asciiTheme="minorHAnsi" w:hAnsiTheme="minorHAnsi" w:cstheme="minorHAnsi"/>
                <w:color w:val="404040" w:themeColor="text1" w:themeTint="BF"/>
                <w:lang w:val="en-US"/>
              </w:rPr>
              <w:t xml:space="preserve">      Provide better information about how to start a business </w:t>
            </w:r>
          </w:p>
        </w:tc>
        <w:tc>
          <w:tcPr>
            <w:tcW w:w="1129" w:type="dxa"/>
            <w:tcBorders>
              <w:top w:val="single" w:sz="4" w:space="0" w:color="auto"/>
              <w:left w:val="nil"/>
              <w:bottom w:val="single" w:sz="4" w:space="0" w:color="auto"/>
              <w:right w:val="single" w:sz="4" w:space="0" w:color="auto"/>
            </w:tcBorders>
            <w:shd w:val="clear" w:color="auto" w:fill="FCD86B" w:themeFill="accent3" w:themeFillTint="99"/>
            <w:vAlign w:val="center"/>
            <w:hideMark/>
          </w:tcPr>
          <w:p w14:paraId="2A152C6D" w14:textId="4CAC0B0A" w:rsidR="007223FF" w:rsidRPr="007223FF" w:rsidRDefault="007223FF" w:rsidP="007223FF">
            <w:pPr>
              <w:rPr>
                <w:rFonts w:asciiTheme="minorHAnsi" w:eastAsia="Times New Roman" w:hAnsiTheme="minorHAnsi" w:cstheme="minorHAnsi"/>
                <w:color w:val="404040" w:themeColor="text1" w:themeTint="BF"/>
              </w:rPr>
            </w:pPr>
            <w:r w:rsidRPr="007223FF">
              <w:rPr>
                <w:rFonts w:asciiTheme="minorHAnsi" w:hAnsiTheme="minorHAnsi" w:cstheme="minorHAnsi"/>
                <w:color w:val="000000"/>
                <w:lang w:val="en-US"/>
              </w:rPr>
              <w:t>7</w:t>
            </w:r>
          </w:p>
        </w:tc>
      </w:tr>
      <w:tr w:rsidR="007223FF" w:rsidRPr="00A93DDA" w14:paraId="60CF4495" w14:textId="77777777" w:rsidTr="007223FF">
        <w:trPr>
          <w:trHeight w:val="300"/>
        </w:trPr>
        <w:tc>
          <w:tcPr>
            <w:tcW w:w="7676" w:type="dxa"/>
            <w:tcBorders>
              <w:top w:val="single" w:sz="4" w:space="0" w:color="auto"/>
              <w:left w:val="single" w:sz="4" w:space="0" w:color="auto"/>
              <w:bottom w:val="single" w:sz="4" w:space="0" w:color="auto"/>
              <w:right w:val="single" w:sz="4" w:space="0" w:color="auto"/>
            </w:tcBorders>
            <w:shd w:val="clear" w:color="auto" w:fill="FCD86B" w:themeFill="accent3" w:themeFillTint="99"/>
            <w:vAlign w:val="center"/>
            <w:hideMark/>
          </w:tcPr>
          <w:p w14:paraId="49CA597D" w14:textId="1516B504" w:rsidR="007223FF" w:rsidRPr="007223FF" w:rsidRDefault="007223FF" w:rsidP="007223FF">
            <w:pPr>
              <w:rPr>
                <w:rFonts w:asciiTheme="minorHAnsi" w:eastAsia="Times New Roman" w:hAnsiTheme="minorHAnsi" w:cstheme="minorHAnsi"/>
                <w:color w:val="404040" w:themeColor="text1" w:themeTint="BF"/>
              </w:rPr>
            </w:pPr>
            <w:r w:rsidRPr="007223FF">
              <w:rPr>
                <w:rFonts w:asciiTheme="minorHAnsi" w:hAnsiTheme="minorHAnsi" w:cstheme="minorHAnsi"/>
                <w:color w:val="404040" w:themeColor="text1" w:themeTint="BF"/>
                <w:lang w:val="en-US"/>
              </w:rPr>
              <w:t xml:space="preserve">      Provide better training to people for starting businesses </w:t>
            </w:r>
          </w:p>
        </w:tc>
        <w:tc>
          <w:tcPr>
            <w:tcW w:w="1129" w:type="dxa"/>
            <w:tcBorders>
              <w:top w:val="single" w:sz="4" w:space="0" w:color="auto"/>
              <w:left w:val="nil"/>
              <w:bottom w:val="single" w:sz="4" w:space="0" w:color="auto"/>
              <w:right w:val="single" w:sz="4" w:space="0" w:color="auto"/>
            </w:tcBorders>
            <w:shd w:val="clear" w:color="auto" w:fill="FCD86B" w:themeFill="accent3" w:themeFillTint="99"/>
            <w:vAlign w:val="center"/>
            <w:hideMark/>
          </w:tcPr>
          <w:p w14:paraId="72D7EDEB" w14:textId="7D0C8822" w:rsidR="007223FF" w:rsidRPr="007223FF" w:rsidRDefault="007223FF" w:rsidP="007223FF">
            <w:pPr>
              <w:rPr>
                <w:rFonts w:asciiTheme="minorHAnsi" w:eastAsia="Times New Roman" w:hAnsiTheme="minorHAnsi" w:cstheme="minorHAnsi"/>
                <w:color w:val="404040" w:themeColor="text1" w:themeTint="BF"/>
              </w:rPr>
            </w:pPr>
            <w:r w:rsidRPr="007223FF">
              <w:rPr>
                <w:rFonts w:asciiTheme="minorHAnsi" w:hAnsiTheme="minorHAnsi" w:cstheme="minorHAnsi"/>
                <w:color w:val="000000"/>
                <w:lang w:val="en-US"/>
              </w:rPr>
              <w:t>6</w:t>
            </w:r>
          </w:p>
        </w:tc>
      </w:tr>
      <w:tr w:rsidR="007223FF" w:rsidRPr="00A93DDA" w14:paraId="5CE9EFEB" w14:textId="77777777" w:rsidTr="007223FF">
        <w:trPr>
          <w:trHeight w:val="300"/>
        </w:trPr>
        <w:tc>
          <w:tcPr>
            <w:tcW w:w="7676" w:type="dxa"/>
            <w:tcBorders>
              <w:top w:val="single" w:sz="4" w:space="0" w:color="auto"/>
              <w:left w:val="single" w:sz="4" w:space="0" w:color="auto"/>
              <w:bottom w:val="single" w:sz="4" w:space="0" w:color="auto"/>
              <w:right w:val="single" w:sz="4" w:space="0" w:color="auto"/>
            </w:tcBorders>
            <w:shd w:val="clear" w:color="auto" w:fill="FCD86B" w:themeFill="accent3" w:themeFillTint="99"/>
            <w:vAlign w:val="center"/>
            <w:hideMark/>
          </w:tcPr>
          <w:p w14:paraId="0A86FDD8" w14:textId="232B2802" w:rsidR="007223FF" w:rsidRPr="007223FF" w:rsidRDefault="007223FF" w:rsidP="007223FF">
            <w:pPr>
              <w:rPr>
                <w:rFonts w:asciiTheme="minorHAnsi" w:eastAsia="Times New Roman" w:hAnsiTheme="minorHAnsi" w:cstheme="minorHAnsi"/>
                <w:color w:val="404040" w:themeColor="text1" w:themeTint="BF"/>
              </w:rPr>
            </w:pPr>
            <w:r w:rsidRPr="007223FF">
              <w:rPr>
                <w:rFonts w:asciiTheme="minorHAnsi" w:hAnsiTheme="minorHAnsi" w:cstheme="minorHAnsi"/>
                <w:color w:val="404040" w:themeColor="text1" w:themeTint="BF"/>
                <w:lang w:val="en-US"/>
              </w:rPr>
              <w:t xml:space="preserve">      Reduce tax rates for small businesses </w:t>
            </w:r>
          </w:p>
        </w:tc>
        <w:tc>
          <w:tcPr>
            <w:tcW w:w="1129" w:type="dxa"/>
            <w:tcBorders>
              <w:top w:val="single" w:sz="4" w:space="0" w:color="auto"/>
              <w:left w:val="nil"/>
              <w:bottom w:val="single" w:sz="4" w:space="0" w:color="auto"/>
              <w:right w:val="single" w:sz="4" w:space="0" w:color="auto"/>
            </w:tcBorders>
            <w:shd w:val="clear" w:color="auto" w:fill="FCD86B" w:themeFill="accent3" w:themeFillTint="99"/>
            <w:vAlign w:val="center"/>
            <w:hideMark/>
          </w:tcPr>
          <w:p w14:paraId="77C508A7" w14:textId="0807D363" w:rsidR="007223FF" w:rsidRPr="007223FF" w:rsidRDefault="007223FF" w:rsidP="007223FF">
            <w:pPr>
              <w:rPr>
                <w:rFonts w:asciiTheme="minorHAnsi" w:eastAsia="Times New Roman" w:hAnsiTheme="minorHAnsi" w:cstheme="minorHAnsi"/>
                <w:color w:val="404040" w:themeColor="text1" w:themeTint="BF"/>
              </w:rPr>
            </w:pPr>
            <w:r w:rsidRPr="007223FF">
              <w:rPr>
                <w:rFonts w:asciiTheme="minorHAnsi" w:hAnsiTheme="minorHAnsi" w:cstheme="minorHAnsi"/>
                <w:color w:val="000000"/>
                <w:lang w:val="en-US"/>
              </w:rPr>
              <w:t>5</w:t>
            </w:r>
          </w:p>
        </w:tc>
      </w:tr>
      <w:tr w:rsidR="007223FF" w:rsidRPr="00A93DDA" w14:paraId="5B9CEAAF" w14:textId="77777777" w:rsidTr="007223FF">
        <w:trPr>
          <w:trHeight w:val="300"/>
        </w:trPr>
        <w:tc>
          <w:tcPr>
            <w:tcW w:w="7676" w:type="dxa"/>
            <w:tcBorders>
              <w:top w:val="single" w:sz="4" w:space="0" w:color="auto"/>
              <w:left w:val="single" w:sz="4" w:space="0" w:color="auto"/>
              <w:bottom w:val="single" w:sz="4" w:space="0" w:color="auto"/>
              <w:right w:val="single" w:sz="4" w:space="0" w:color="auto"/>
            </w:tcBorders>
            <w:shd w:val="clear" w:color="auto" w:fill="FCD86B" w:themeFill="accent3" w:themeFillTint="99"/>
            <w:vAlign w:val="center"/>
            <w:hideMark/>
          </w:tcPr>
          <w:p w14:paraId="15A5F0F3" w14:textId="49AA8821" w:rsidR="007223FF" w:rsidRPr="007223FF" w:rsidRDefault="007223FF" w:rsidP="007223FF">
            <w:pPr>
              <w:rPr>
                <w:rFonts w:asciiTheme="minorHAnsi" w:eastAsia="Times New Roman" w:hAnsiTheme="minorHAnsi" w:cstheme="minorHAnsi"/>
                <w:color w:val="404040" w:themeColor="text1" w:themeTint="BF"/>
              </w:rPr>
            </w:pPr>
            <w:r w:rsidRPr="007223FF">
              <w:rPr>
                <w:rFonts w:asciiTheme="minorHAnsi" w:hAnsiTheme="minorHAnsi" w:cstheme="minorHAnsi"/>
                <w:color w:val="404040" w:themeColor="text1" w:themeTint="BF"/>
                <w:lang w:val="en-US"/>
              </w:rPr>
              <w:t xml:space="preserve">      Provide guidance </w:t>
            </w:r>
          </w:p>
        </w:tc>
        <w:tc>
          <w:tcPr>
            <w:tcW w:w="1129" w:type="dxa"/>
            <w:tcBorders>
              <w:top w:val="single" w:sz="4" w:space="0" w:color="auto"/>
              <w:left w:val="nil"/>
              <w:bottom w:val="single" w:sz="4" w:space="0" w:color="auto"/>
              <w:right w:val="single" w:sz="4" w:space="0" w:color="auto"/>
            </w:tcBorders>
            <w:shd w:val="clear" w:color="auto" w:fill="FCD86B" w:themeFill="accent3" w:themeFillTint="99"/>
            <w:vAlign w:val="center"/>
            <w:hideMark/>
          </w:tcPr>
          <w:p w14:paraId="1A19674E" w14:textId="0DB08198" w:rsidR="007223FF" w:rsidRPr="007223FF" w:rsidRDefault="007223FF" w:rsidP="007223FF">
            <w:pPr>
              <w:rPr>
                <w:rFonts w:asciiTheme="minorHAnsi" w:eastAsia="Times New Roman" w:hAnsiTheme="minorHAnsi" w:cstheme="minorHAnsi"/>
                <w:color w:val="404040" w:themeColor="text1" w:themeTint="BF"/>
              </w:rPr>
            </w:pPr>
            <w:r w:rsidRPr="007223FF">
              <w:rPr>
                <w:rFonts w:asciiTheme="minorHAnsi" w:hAnsiTheme="minorHAnsi" w:cstheme="minorHAnsi"/>
                <w:color w:val="000000"/>
                <w:lang w:val="en-US"/>
              </w:rPr>
              <w:t>4</w:t>
            </w:r>
          </w:p>
        </w:tc>
      </w:tr>
      <w:tr w:rsidR="007223FF" w:rsidRPr="00A93DDA" w14:paraId="22245118" w14:textId="77777777" w:rsidTr="007223FF">
        <w:trPr>
          <w:trHeight w:val="300"/>
        </w:trPr>
        <w:tc>
          <w:tcPr>
            <w:tcW w:w="7676" w:type="dxa"/>
            <w:tcBorders>
              <w:top w:val="single" w:sz="4" w:space="0" w:color="auto"/>
              <w:left w:val="single" w:sz="4" w:space="0" w:color="auto"/>
              <w:bottom w:val="single" w:sz="4" w:space="0" w:color="auto"/>
              <w:right w:val="single" w:sz="4" w:space="0" w:color="auto"/>
            </w:tcBorders>
            <w:shd w:val="clear" w:color="auto" w:fill="FCD86B" w:themeFill="accent3" w:themeFillTint="99"/>
            <w:vAlign w:val="center"/>
            <w:hideMark/>
          </w:tcPr>
          <w:p w14:paraId="2DE42320" w14:textId="2E3524B1" w:rsidR="007223FF" w:rsidRPr="007223FF" w:rsidRDefault="007223FF" w:rsidP="007223FF">
            <w:pPr>
              <w:rPr>
                <w:rFonts w:asciiTheme="minorHAnsi" w:eastAsia="Times New Roman" w:hAnsiTheme="minorHAnsi" w:cstheme="minorHAnsi"/>
                <w:color w:val="404040" w:themeColor="text1" w:themeTint="BF"/>
              </w:rPr>
            </w:pPr>
            <w:r w:rsidRPr="007223FF">
              <w:rPr>
                <w:rFonts w:asciiTheme="minorHAnsi" w:hAnsiTheme="minorHAnsi" w:cstheme="minorHAnsi"/>
                <w:color w:val="404040" w:themeColor="text1" w:themeTint="BF"/>
                <w:lang w:val="en-US"/>
              </w:rPr>
              <w:t xml:space="preserve">      Provide incentives for hiring people </w:t>
            </w:r>
          </w:p>
        </w:tc>
        <w:tc>
          <w:tcPr>
            <w:tcW w:w="1129" w:type="dxa"/>
            <w:tcBorders>
              <w:top w:val="single" w:sz="4" w:space="0" w:color="auto"/>
              <w:left w:val="nil"/>
              <w:bottom w:val="single" w:sz="4" w:space="0" w:color="auto"/>
              <w:right w:val="single" w:sz="4" w:space="0" w:color="auto"/>
            </w:tcBorders>
            <w:shd w:val="clear" w:color="auto" w:fill="FCD86B" w:themeFill="accent3" w:themeFillTint="99"/>
            <w:vAlign w:val="center"/>
            <w:hideMark/>
          </w:tcPr>
          <w:p w14:paraId="24245D84" w14:textId="0B631D89" w:rsidR="007223FF" w:rsidRPr="007223FF" w:rsidRDefault="007223FF" w:rsidP="007223FF">
            <w:pPr>
              <w:rPr>
                <w:rFonts w:asciiTheme="minorHAnsi" w:eastAsia="Times New Roman" w:hAnsiTheme="minorHAnsi" w:cstheme="minorHAnsi"/>
                <w:color w:val="404040" w:themeColor="text1" w:themeTint="BF"/>
              </w:rPr>
            </w:pPr>
            <w:r w:rsidRPr="007223FF">
              <w:rPr>
                <w:rFonts w:asciiTheme="minorHAnsi" w:hAnsiTheme="minorHAnsi" w:cstheme="minorHAnsi"/>
                <w:color w:val="000000"/>
                <w:lang w:val="en-US"/>
              </w:rPr>
              <w:t>4</w:t>
            </w:r>
          </w:p>
        </w:tc>
      </w:tr>
      <w:tr w:rsidR="007223FF" w:rsidRPr="00A93DDA" w14:paraId="12637405" w14:textId="77777777" w:rsidTr="00CE5B87">
        <w:trPr>
          <w:trHeight w:val="300"/>
        </w:trPr>
        <w:tc>
          <w:tcPr>
            <w:tcW w:w="7676" w:type="dxa"/>
            <w:tcBorders>
              <w:top w:val="single" w:sz="4" w:space="0" w:color="auto"/>
              <w:left w:val="single" w:sz="4" w:space="0" w:color="auto"/>
              <w:bottom w:val="single" w:sz="4" w:space="0" w:color="auto"/>
              <w:right w:val="single" w:sz="4" w:space="0" w:color="auto"/>
            </w:tcBorders>
            <w:shd w:val="clear" w:color="auto" w:fill="FDE59C" w:themeFill="accent3" w:themeFillTint="66"/>
            <w:vAlign w:val="center"/>
            <w:hideMark/>
          </w:tcPr>
          <w:p w14:paraId="6647CBC6" w14:textId="47CD77D0" w:rsidR="007223FF" w:rsidRPr="007223FF" w:rsidRDefault="007223FF" w:rsidP="007223FF">
            <w:pPr>
              <w:rPr>
                <w:rFonts w:asciiTheme="minorHAnsi" w:eastAsia="Times New Roman" w:hAnsiTheme="minorHAnsi" w:cstheme="minorHAnsi"/>
                <w:color w:val="7F7F7F" w:themeColor="text1" w:themeTint="80"/>
              </w:rPr>
            </w:pPr>
            <w:r w:rsidRPr="007223FF">
              <w:rPr>
                <w:rFonts w:asciiTheme="minorHAnsi" w:hAnsiTheme="minorHAnsi" w:cstheme="minorHAnsi"/>
                <w:color w:val="7F7F7F" w:themeColor="text1" w:themeTint="80"/>
                <w:lang w:val="en-US"/>
              </w:rPr>
              <w:t xml:space="preserve">      Avoid constant policy changes </w:t>
            </w:r>
          </w:p>
        </w:tc>
        <w:tc>
          <w:tcPr>
            <w:tcW w:w="1129" w:type="dxa"/>
            <w:tcBorders>
              <w:top w:val="single" w:sz="4" w:space="0" w:color="auto"/>
              <w:left w:val="nil"/>
              <w:bottom w:val="single" w:sz="4" w:space="0" w:color="auto"/>
              <w:right w:val="single" w:sz="4" w:space="0" w:color="auto"/>
            </w:tcBorders>
            <w:shd w:val="clear" w:color="auto" w:fill="FDE59C" w:themeFill="accent3" w:themeFillTint="66"/>
            <w:vAlign w:val="center"/>
            <w:hideMark/>
          </w:tcPr>
          <w:p w14:paraId="6B6164C3" w14:textId="24875DAC" w:rsidR="007223FF" w:rsidRPr="007223FF" w:rsidRDefault="007223FF" w:rsidP="007223FF">
            <w:pPr>
              <w:rPr>
                <w:rFonts w:asciiTheme="minorHAnsi" w:eastAsia="Times New Roman" w:hAnsiTheme="minorHAnsi" w:cstheme="minorHAnsi"/>
                <w:color w:val="7F7F7F" w:themeColor="text1" w:themeTint="80"/>
              </w:rPr>
            </w:pPr>
            <w:r w:rsidRPr="007223FF">
              <w:rPr>
                <w:rFonts w:asciiTheme="minorHAnsi" w:hAnsiTheme="minorHAnsi" w:cstheme="minorHAnsi"/>
                <w:color w:val="000000"/>
                <w:lang w:val="en-US"/>
              </w:rPr>
              <w:t>3</w:t>
            </w:r>
          </w:p>
        </w:tc>
      </w:tr>
    </w:tbl>
    <w:p w14:paraId="69C24825" w14:textId="77777777" w:rsidR="00CE5B87" w:rsidRPr="00A93DDA" w:rsidRDefault="00CE5B87" w:rsidP="00CE5B87">
      <w:pPr>
        <w:autoSpaceDE w:val="0"/>
        <w:autoSpaceDN w:val="0"/>
        <w:adjustRightInd w:val="0"/>
        <w:spacing w:line="276" w:lineRule="auto"/>
        <w:jc w:val="both"/>
        <w:rPr>
          <w:rFonts w:cs="Calibri"/>
          <w:color w:val="000000"/>
          <w:sz w:val="22"/>
          <w:szCs w:val="22"/>
        </w:rPr>
      </w:pPr>
    </w:p>
    <w:p w14:paraId="3539A91C" w14:textId="2C739417" w:rsidR="00CE5B87" w:rsidRDefault="00CE5B87" w:rsidP="0077510F">
      <w:pPr>
        <w:spacing w:line="276" w:lineRule="auto"/>
        <w:jc w:val="both"/>
        <w:rPr>
          <w:sz w:val="22"/>
          <w:szCs w:val="22"/>
        </w:rPr>
      </w:pPr>
    </w:p>
    <w:p w14:paraId="69050F85" w14:textId="77777777" w:rsidR="00CE5B87" w:rsidRDefault="00CE5B87" w:rsidP="0077510F">
      <w:pPr>
        <w:spacing w:line="276" w:lineRule="auto"/>
        <w:jc w:val="both"/>
        <w:rPr>
          <w:sz w:val="22"/>
          <w:szCs w:val="22"/>
        </w:rPr>
        <w:sectPr w:rsidR="00CE5B87" w:rsidSect="00CE5B87">
          <w:type w:val="continuous"/>
          <w:pgSz w:w="11900" w:h="16840"/>
          <w:pgMar w:top="1680" w:right="1417" w:bottom="1417" w:left="1417" w:header="426" w:footer="596" w:gutter="0"/>
          <w:cols w:space="708"/>
          <w:titlePg/>
          <w:docGrid w:linePitch="360"/>
        </w:sectPr>
      </w:pPr>
    </w:p>
    <w:p w14:paraId="48F00AE2" w14:textId="77777777" w:rsidR="006B7E64" w:rsidRDefault="006B7E64" w:rsidP="0077510F">
      <w:pPr>
        <w:spacing w:line="276" w:lineRule="auto"/>
        <w:jc w:val="both"/>
        <w:rPr>
          <w:sz w:val="22"/>
          <w:szCs w:val="22"/>
        </w:rPr>
      </w:pPr>
      <w:r>
        <w:rPr>
          <w:sz w:val="22"/>
          <w:szCs w:val="22"/>
        </w:rPr>
        <w:t>It seems founders in Italy stick to traditional medicine and propose a variation on the inform, fund and deregulate approach that has been propagated for decades now. These things remain important for a healthy entrepreneurial ecosystem, as much as not smoking, sports and a healthy diet are important for a cancer patient. But this alone will not cure the more fundamental problems we identified above. Based on all the</w:t>
      </w:r>
      <w:r w:rsidRPr="00A93DDA">
        <w:rPr>
          <w:sz w:val="22"/>
          <w:szCs w:val="22"/>
        </w:rPr>
        <w:t xml:space="preserve"> information </w:t>
      </w:r>
      <w:r>
        <w:rPr>
          <w:sz w:val="22"/>
          <w:szCs w:val="22"/>
        </w:rPr>
        <w:t xml:space="preserve">available </w:t>
      </w:r>
      <w:r w:rsidRPr="00A93DDA">
        <w:rPr>
          <w:sz w:val="22"/>
          <w:szCs w:val="22"/>
        </w:rPr>
        <w:t xml:space="preserve">we can come to a </w:t>
      </w:r>
      <w:r>
        <w:rPr>
          <w:sz w:val="22"/>
          <w:szCs w:val="22"/>
        </w:rPr>
        <w:t xml:space="preserve">full </w:t>
      </w:r>
      <w:r w:rsidRPr="00A93DDA">
        <w:rPr>
          <w:sz w:val="22"/>
          <w:szCs w:val="22"/>
        </w:rPr>
        <w:t xml:space="preserve">diagnosis and mapping that diagnosis onto the menu of available treatments (downloadable </w:t>
      </w:r>
      <w:hyperlink r:id="rId27" w:history="1">
        <w:r w:rsidRPr="00A93DDA">
          <w:rPr>
            <w:rStyle w:val="Hyperlink"/>
            <w:sz w:val="22"/>
            <w:szCs w:val="22"/>
          </w:rPr>
          <w:t>here</w:t>
        </w:r>
      </w:hyperlink>
      <w:r w:rsidRPr="00A93DDA">
        <w:rPr>
          <w:sz w:val="22"/>
          <w:szCs w:val="22"/>
        </w:rPr>
        <w:t xml:space="preserve">), </w:t>
      </w:r>
      <w:r>
        <w:rPr>
          <w:sz w:val="22"/>
          <w:szCs w:val="22"/>
        </w:rPr>
        <w:t xml:space="preserve">we </w:t>
      </w:r>
      <w:r w:rsidRPr="00A93DDA">
        <w:rPr>
          <w:sz w:val="22"/>
          <w:szCs w:val="22"/>
        </w:rPr>
        <w:t xml:space="preserve">propose a treatment that fits </w:t>
      </w:r>
      <w:r>
        <w:rPr>
          <w:sz w:val="22"/>
          <w:szCs w:val="22"/>
        </w:rPr>
        <w:t>our</w:t>
      </w:r>
      <w:r w:rsidRPr="00A93DDA">
        <w:rPr>
          <w:sz w:val="22"/>
          <w:szCs w:val="22"/>
        </w:rPr>
        <w:t xml:space="preserve"> patient</w:t>
      </w:r>
      <w:r>
        <w:rPr>
          <w:sz w:val="22"/>
          <w:szCs w:val="22"/>
        </w:rPr>
        <w:t xml:space="preserve"> and her condition</w:t>
      </w:r>
      <w:r w:rsidRPr="00A93DDA">
        <w:rPr>
          <w:sz w:val="22"/>
          <w:szCs w:val="22"/>
        </w:rPr>
        <w:t xml:space="preserve">. </w:t>
      </w:r>
    </w:p>
    <w:p w14:paraId="10556768" w14:textId="136D159B" w:rsidR="007223FF" w:rsidRDefault="006B7E64" w:rsidP="0077510F">
      <w:pPr>
        <w:spacing w:line="276" w:lineRule="auto"/>
        <w:jc w:val="both"/>
        <w:rPr>
          <w:sz w:val="22"/>
          <w:szCs w:val="22"/>
        </w:rPr>
      </w:pPr>
      <w:r w:rsidRPr="00A93DDA">
        <w:rPr>
          <w:sz w:val="22"/>
          <w:szCs w:val="22"/>
        </w:rPr>
        <w:t>Italy has a long and proud history. Many of</w:t>
      </w:r>
      <w:r>
        <w:rPr>
          <w:sz w:val="22"/>
          <w:szCs w:val="22"/>
        </w:rPr>
        <w:t xml:space="preserve"> the institutions that shape an</w:t>
      </w:r>
      <w:r w:rsidRPr="00A93DDA">
        <w:rPr>
          <w:sz w:val="22"/>
          <w:szCs w:val="22"/>
        </w:rPr>
        <w:t xml:space="preserve"> Entrepreneurial Society have their roots in Italy. Italy has seen the birth of modern banking, invented intellectual property rights protection and boasts the oldest universities in the world. Even today Italy boasts a highly innovative small and medium sized entrepreneurial sector that competes </w:t>
      </w:r>
      <w:r>
        <w:rPr>
          <w:sz w:val="22"/>
          <w:szCs w:val="22"/>
        </w:rPr>
        <w:t xml:space="preserve">on quality </w:t>
      </w:r>
      <w:r w:rsidRPr="00A93DDA">
        <w:rPr>
          <w:sz w:val="22"/>
          <w:szCs w:val="22"/>
        </w:rPr>
        <w:t xml:space="preserve">at the global level. Innovative entrepreneurship has deep historical roots in Italy. But time has progressed </w:t>
      </w:r>
      <w:r w:rsidRPr="00A93DDA">
        <w:rPr>
          <w:sz w:val="22"/>
          <w:szCs w:val="22"/>
        </w:rPr>
        <w:lastRenderedPageBreak/>
        <w:t xml:space="preserve">and the landscape has changed. To face the challenges of the future, Italy will have to build on its strengths </w:t>
      </w:r>
      <w:r>
        <w:rPr>
          <w:sz w:val="22"/>
          <w:szCs w:val="22"/>
        </w:rPr>
        <w:t>and</w:t>
      </w:r>
      <w:r w:rsidRPr="00A93DDA">
        <w:rPr>
          <w:sz w:val="22"/>
          <w:szCs w:val="22"/>
        </w:rPr>
        <w:t xml:space="preserve"> should urgently address its weaknesses. Where Italy could strengthen its entrepreneurial ecosystem is in the area of boosting human capital investments and more importantly, opening up opportunities for the young and talented to engage in productive and innovative venturing in Italy. Italy has seen in the recent crisis, but also before, an exodus of talent. It seems there are more opportunities abroad than at home. And of those that do stay and start-up ventures, most complain about cumbersome bureaucracy resulting in lacking growth ambitions and stunted economic dynamics. Taking these ailments to our menu of policy interventions and reform proposals in Part I of this report, we select</w:t>
      </w:r>
      <w:r>
        <w:rPr>
          <w:sz w:val="22"/>
          <w:szCs w:val="22"/>
        </w:rPr>
        <w:t>ed</w:t>
      </w:r>
      <w:r w:rsidR="002868CC">
        <w:rPr>
          <w:sz w:val="22"/>
          <w:szCs w:val="22"/>
        </w:rPr>
        <w:t xml:space="preserve"> the fifteen</w:t>
      </w:r>
      <w:r w:rsidRPr="00A93DDA">
        <w:rPr>
          <w:sz w:val="22"/>
          <w:szCs w:val="22"/>
        </w:rPr>
        <w:t xml:space="preserve"> most suitable interventions.</w:t>
      </w:r>
      <w:r>
        <w:rPr>
          <w:sz w:val="22"/>
          <w:szCs w:val="22"/>
        </w:rPr>
        <w:t xml:space="preserve"> </w:t>
      </w:r>
      <w:r w:rsidR="00590D2F">
        <w:rPr>
          <w:sz w:val="22"/>
          <w:szCs w:val="22"/>
        </w:rPr>
        <w:t>They are listed in Table 4</w:t>
      </w:r>
      <w:r w:rsidR="007223FF" w:rsidRPr="00A93DDA">
        <w:rPr>
          <w:sz w:val="22"/>
          <w:szCs w:val="22"/>
        </w:rPr>
        <w:t xml:space="preserve"> </w:t>
      </w:r>
      <w:r w:rsidR="00590D2F">
        <w:rPr>
          <w:sz w:val="22"/>
          <w:szCs w:val="22"/>
        </w:rPr>
        <w:t>in the Appendix</w:t>
      </w:r>
      <w:r w:rsidR="007223FF" w:rsidRPr="00A93DDA">
        <w:rPr>
          <w:sz w:val="22"/>
          <w:szCs w:val="22"/>
        </w:rPr>
        <w:t xml:space="preserve">. In column 1 we find the number under which they were presented in Part I of the full report (downloadable </w:t>
      </w:r>
      <w:hyperlink r:id="rId28" w:history="1">
        <w:r w:rsidR="007223FF" w:rsidRPr="00A93DDA">
          <w:rPr>
            <w:rStyle w:val="Hyperlink"/>
            <w:sz w:val="22"/>
            <w:szCs w:val="22"/>
          </w:rPr>
          <w:t>here</w:t>
        </w:r>
      </w:hyperlink>
      <w:r w:rsidR="007223FF" w:rsidRPr="00A93DDA">
        <w:rPr>
          <w:sz w:val="22"/>
          <w:szCs w:val="22"/>
        </w:rPr>
        <w:t>) and column 2 gives the section number in that report where one can read more of the background and general motivation for the proposals. Column 3 lists the title and 4 the full proposal, where column</w:t>
      </w:r>
      <w:r w:rsidR="002868CC">
        <w:rPr>
          <w:sz w:val="22"/>
          <w:szCs w:val="22"/>
        </w:rPr>
        <w:t xml:space="preserve"> 5</w:t>
      </w:r>
      <w:r w:rsidR="007223FF" w:rsidRPr="00A93DDA">
        <w:rPr>
          <w:sz w:val="22"/>
          <w:szCs w:val="22"/>
        </w:rPr>
        <w:t xml:space="preserve"> gives a short motivation </w:t>
      </w:r>
      <w:r w:rsidR="002868CC">
        <w:rPr>
          <w:sz w:val="22"/>
          <w:szCs w:val="22"/>
        </w:rPr>
        <w:t>linking</w:t>
      </w:r>
      <w:r w:rsidR="007223FF" w:rsidRPr="00A93DDA">
        <w:rPr>
          <w:sz w:val="22"/>
          <w:szCs w:val="22"/>
        </w:rPr>
        <w:t xml:space="preserve"> the proposal to the analysis presented above and </w:t>
      </w:r>
      <w:r w:rsidR="002868CC">
        <w:rPr>
          <w:sz w:val="22"/>
          <w:szCs w:val="22"/>
        </w:rPr>
        <w:t>column 6 fits</w:t>
      </w:r>
      <w:r w:rsidR="007223FF" w:rsidRPr="00A93DDA">
        <w:rPr>
          <w:sz w:val="22"/>
          <w:szCs w:val="22"/>
        </w:rPr>
        <w:t xml:space="preserve"> it into the Italian context. </w:t>
      </w:r>
    </w:p>
    <w:p w14:paraId="01600D65" w14:textId="21E7E18C" w:rsidR="00D819B9" w:rsidRPr="00A93DDA" w:rsidRDefault="00804847" w:rsidP="0077510F">
      <w:pPr>
        <w:spacing w:line="276" w:lineRule="auto"/>
        <w:jc w:val="both"/>
        <w:rPr>
          <w:sz w:val="22"/>
          <w:szCs w:val="22"/>
        </w:rPr>
      </w:pPr>
      <w:r w:rsidRPr="00A93DDA">
        <w:rPr>
          <w:sz w:val="22"/>
          <w:szCs w:val="22"/>
        </w:rPr>
        <w:t xml:space="preserve">Proposal </w:t>
      </w:r>
      <w:r w:rsidR="00F04130" w:rsidRPr="00A93DDA">
        <w:rPr>
          <w:sz w:val="22"/>
          <w:szCs w:val="22"/>
        </w:rPr>
        <w:t xml:space="preserve">1 seeks to address the complexity of the Italian legal system. Procedures take too long and more importantly, this differs markedly across the territory. We believe it would help not only entrepreneurs in Italy when the judicial system effectively settles </w:t>
      </w:r>
      <w:r w:rsidR="00F04130" w:rsidRPr="00A93DDA">
        <w:rPr>
          <w:sz w:val="22"/>
          <w:szCs w:val="22"/>
        </w:rPr>
        <w:t xml:space="preserve">disputes and while progress is being made, this remains an important area of reform. </w:t>
      </w:r>
      <w:r w:rsidR="006B7E64">
        <w:rPr>
          <w:sz w:val="22"/>
          <w:szCs w:val="22"/>
        </w:rPr>
        <w:t xml:space="preserve">A stable and predictable system of Rule of Law </w:t>
      </w:r>
      <w:r w:rsidR="00213A98">
        <w:rPr>
          <w:sz w:val="22"/>
          <w:szCs w:val="22"/>
        </w:rPr>
        <w:t xml:space="preserve">and high quality government </w:t>
      </w:r>
      <w:r w:rsidR="006B7E64">
        <w:rPr>
          <w:sz w:val="22"/>
          <w:szCs w:val="22"/>
        </w:rPr>
        <w:t xml:space="preserve">is essential for any Entrepreneurial Society and an effective judicial system </w:t>
      </w:r>
      <w:r w:rsidR="00213A98">
        <w:rPr>
          <w:sz w:val="22"/>
          <w:szCs w:val="22"/>
        </w:rPr>
        <w:t>is essential to ensure it.</w:t>
      </w:r>
      <w:r w:rsidR="00213A98" w:rsidRPr="00213A98">
        <w:rPr>
          <w:rStyle w:val="FootnoteReference"/>
          <w:rFonts w:cs="Calibri"/>
          <w:color w:val="404040" w:themeColor="text1" w:themeTint="BF"/>
          <w:sz w:val="22"/>
          <w:szCs w:val="22"/>
        </w:rPr>
        <w:t xml:space="preserve"> </w:t>
      </w:r>
      <w:r w:rsidR="00213A98">
        <w:rPr>
          <w:rStyle w:val="FootnoteReference"/>
          <w:rFonts w:cs="Calibri"/>
          <w:color w:val="404040" w:themeColor="text1" w:themeTint="BF"/>
          <w:sz w:val="22"/>
          <w:szCs w:val="22"/>
        </w:rPr>
        <w:footnoteReference w:id="3"/>
      </w:r>
    </w:p>
    <w:p w14:paraId="5CEE887F" w14:textId="55AA0E9F" w:rsidR="00F04130" w:rsidRPr="00A93DDA" w:rsidRDefault="00F04130" w:rsidP="0077510F">
      <w:pPr>
        <w:spacing w:line="276" w:lineRule="auto"/>
        <w:jc w:val="both"/>
        <w:rPr>
          <w:sz w:val="22"/>
          <w:szCs w:val="22"/>
        </w:rPr>
      </w:pPr>
      <w:r w:rsidRPr="00A93DDA">
        <w:rPr>
          <w:sz w:val="22"/>
          <w:szCs w:val="22"/>
        </w:rPr>
        <w:t xml:space="preserve">Proposals 8 and 10 seek to address the tax burden on especially growing firms. Italy has generous tax exemptions for SMEs, but should </w:t>
      </w:r>
      <w:r w:rsidR="00213A98">
        <w:rPr>
          <w:sz w:val="22"/>
          <w:szCs w:val="22"/>
        </w:rPr>
        <w:t>evaluate</w:t>
      </w:r>
      <w:r w:rsidRPr="00A93DDA">
        <w:rPr>
          <w:sz w:val="22"/>
          <w:szCs w:val="22"/>
        </w:rPr>
        <w:t xml:space="preserve"> the tax burden over the entire lifecycle of firms. A fiscal penalty on growth is to</w:t>
      </w:r>
      <w:r w:rsidR="00213A98">
        <w:rPr>
          <w:sz w:val="22"/>
          <w:szCs w:val="22"/>
        </w:rPr>
        <w:t xml:space="preserve"> be avoided. More important than</w:t>
      </w:r>
      <w:r w:rsidRPr="00A93DDA">
        <w:rPr>
          <w:sz w:val="22"/>
          <w:szCs w:val="22"/>
        </w:rPr>
        <w:t xml:space="preserve"> low statutory tax rates, are clear, transparent and predictable tax liabilities. With an overall tax pressure of 64% (again</w:t>
      </w:r>
      <w:r w:rsidR="001A3EC5">
        <w:rPr>
          <w:sz w:val="22"/>
          <w:szCs w:val="22"/>
        </w:rPr>
        <w:t>st 40% in the EU on average), a</w:t>
      </w:r>
      <w:r w:rsidRPr="00A93DDA">
        <w:rPr>
          <w:sz w:val="22"/>
          <w:szCs w:val="22"/>
        </w:rPr>
        <w:t xml:space="preserve"> general reduction in corporate income taxation is </w:t>
      </w:r>
      <w:r w:rsidR="00213A98">
        <w:rPr>
          <w:sz w:val="22"/>
          <w:szCs w:val="22"/>
        </w:rPr>
        <w:t>probably</w:t>
      </w:r>
      <w:r w:rsidRPr="00A93DDA">
        <w:rPr>
          <w:sz w:val="22"/>
          <w:szCs w:val="22"/>
        </w:rPr>
        <w:t xml:space="preserve"> wise</w:t>
      </w:r>
      <w:r w:rsidR="00213A98">
        <w:rPr>
          <w:sz w:val="22"/>
          <w:szCs w:val="22"/>
        </w:rPr>
        <w:t xml:space="preserve"> as well</w:t>
      </w:r>
      <w:r w:rsidRPr="00A93DDA">
        <w:rPr>
          <w:sz w:val="22"/>
          <w:szCs w:val="22"/>
        </w:rPr>
        <w:t>.</w:t>
      </w:r>
      <w:r w:rsidR="00213A98">
        <w:rPr>
          <w:sz w:val="22"/>
          <w:szCs w:val="22"/>
        </w:rPr>
        <w:t xml:space="preserve"> It is better to have low taxes on broad tax bases by making  </w:t>
      </w:r>
      <w:r w:rsidRPr="00A93DDA">
        <w:rPr>
          <w:sz w:val="22"/>
          <w:szCs w:val="22"/>
        </w:rPr>
        <w:t xml:space="preserve"> </w:t>
      </w:r>
    </w:p>
    <w:p w14:paraId="45F761CE" w14:textId="77777777" w:rsidR="00F04130" w:rsidRPr="00A93DDA" w:rsidRDefault="00F04130" w:rsidP="0077510F">
      <w:pPr>
        <w:spacing w:line="276" w:lineRule="auto"/>
        <w:jc w:val="both"/>
        <w:rPr>
          <w:sz w:val="22"/>
          <w:szCs w:val="22"/>
        </w:rPr>
      </w:pPr>
      <w:r w:rsidRPr="00A93DDA">
        <w:rPr>
          <w:sz w:val="22"/>
          <w:szCs w:val="22"/>
        </w:rPr>
        <w:t xml:space="preserve">Proposals 14 and 19 seek to strengthen the flow of financial resources into entrepreneurial venturing in Italy. We do not focus on the Anglo-Saxon angel and VC model of venture finance, but rather aim to strengthen Italy’s traditionally strong arms-length banking sector and the flow of private wealth through strong family ties. </w:t>
      </w:r>
    </w:p>
    <w:p w14:paraId="3E6FEFD5" w14:textId="0D25CF21" w:rsidR="00F04130" w:rsidRPr="00A93DDA" w:rsidRDefault="00F04130" w:rsidP="0077510F">
      <w:pPr>
        <w:spacing w:line="276" w:lineRule="auto"/>
        <w:jc w:val="both"/>
        <w:rPr>
          <w:sz w:val="22"/>
          <w:szCs w:val="22"/>
        </w:rPr>
      </w:pPr>
      <w:r w:rsidRPr="00A93DDA">
        <w:rPr>
          <w:sz w:val="22"/>
          <w:szCs w:val="22"/>
        </w:rPr>
        <w:t xml:space="preserve">Proposals 28, 31, 32 and 35 seek to improve the mobility of talent </w:t>
      </w:r>
      <w:r w:rsidR="00B86F3E" w:rsidRPr="00A93DDA">
        <w:rPr>
          <w:sz w:val="22"/>
          <w:szCs w:val="22"/>
        </w:rPr>
        <w:t xml:space="preserve">while at the same time maintaining the level of social security that Italians value highly. That is, given the high levels of risk adversity, it seems prudent to not create the much needed flexibility by just liberalising labour markets, wage formation and social security. Instead, we propose measures that are closer to the </w:t>
      </w:r>
      <w:r w:rsidR="00B86F3E" w:rsidRPr="00A93DDA">
        <w:rPr>
          <w:i/>
          <w:sz w:val="22"/>
          <w:szCs w:val="22"/>
        </w:rPr>
        <w:t>flexicurity</w:t>
      </w:r>
      <w:r w:rsidR="00B86F3E" w:rsidRPr="00A93DDA">
        <w:rPr>
          <w:sz w:val="22"/>
          <w:szCs w:val="22"/>
        </w:rPr>
        <w:t xml:space="preserve"> systems</w:t>
      </w:r>
      <w:r w:rsidR="0088078E">
        <w:rPr>
          <w:sz w:val="22"/>
          <w:szCs w:val="22"/>
        </w:rPr>
        <w:t xml:space="preserve"> which</w:t>
      </w:r>
      <w:r w:rsidR="00B86F3E" w:rsidRPr="00A93DDA">
        <w:rPr>
          <w:sz w:val="22"/>
          <w:szCs w:val="22"/>
        </w:rPr>
        <w:t xml:space="preserve"> Coordinated Market Economies </w:t>
      </w:r>
      <w:r w:rsidR="00B86F3E" w:rsidRPr="00A93DDA">
        <w:rPr>
          <w:sz w:val="22"/>
          <w:szCs w:val="22"/>
        </w:rPr>
        <w:lastRenderedPageBreak/>
        <w:t>are testing. Moreover, Italy could try to enhance the mobility of its labour force over sectors and occupations by investing in training and lifting legal barriers to such mobility.</w:t>
      </w:r>
    </w:p>
    <w:p w14:paraId="6750899B" w14:textId="717E42F6" w:rsidR="00F04130" w:rsidRPr="00A93DDA" w:rsidRDefault="00275E75" w:rsidP="0077510F">
      <w:pPr>
        <w:spacing w:line="276" w:lineRule="auto"/>
        <w:jc w:val="both"/>
        <w:rPr>
          <w:sz w:val="22"/>
          <w:szCs w:val="22"/>
        </w:rPr>
      </w:pPr>
      <w:r>
        <w:rPr>
          <w:sz w:val="22"/>
          <w:szCs w:val="22"/>
        </w:rPr>
        <w:t xml:space="preserve">Proposals 40, </w:t>
      </w:r>
      <w:r w:rsidR="00F04130" w:rsidRPr="00A93DDA">
        <w:rPr>
          <w:sz w:val="22"/>
          <w:szCs w:val="22"/>
        </w:rPr>
        <w:t>45</w:t>
      </w:r>
      <w:r>
        <w:rPr>
          <w:sz w:val="22"/>
          <w:szCs w:val="22"/>
        </w:rPr>
        <w:t xml:space="preserve"> and 48</w:t>
      </w:r>
      <w:r w:rsidR="00B86F3E" w:rsidRPr="00A93DDA">
        <w:rPr>
          <w:sz w:val="22"/>
          <w:szCs w:val="22"/>
        </w:rPr>
        <w:t xml:space="preserve"> address the cumbersome regulatory barriers to starting and growing firms in Italy, while at the same time setting up knowledge centres or “Observatories” to support such venturing. At the same time Italy should reduce the complexity and opacity of regulation and develop one-stop-shops for entrepreneurs that need help navigating the regulatory requirements that remain. </w:t>
      </w:r>
      <w:r w:rsidR="00F04130" w:rsidRPr="00A93DDA">
        <w:rPr>
          <w:sz w:val="22"/>
          <w:szCs w:val="22"/>
        </w:rPr>
        <w:t xml:space="preserve"> </w:t>
      </w:r>
    </w:p>
    <w:p w14:paraId="17BBE73D" w14:textId="77777777" w:rsidR="00F04130" w:rsidRPr="00A93DDA" w:rsidRDefault="00F04130" w:rsidP="0077510F">
      <w:pPr>
        <w:spacing w:line="276" w:lineRule="auto"/>
        <w:jc w:val="both"/>
        <w:rPr>
          <w:sz w:val="22"/>
          <w:szCs w:val="22"/>
        </w:rPr>
      </w:pPr>
      <w:r w:rsidRPr="00A93DDA">
        <w:rPr>
          <w:sz w:val="22"/>
          <w:szCs w:val="22"/>
        </w:rPr>
        <w:t>Proposals 55, 57 and 59</w:t>
      </w:r>
      <w:r w:rsidR="00B86F3E" w:rsidRPr="00A93DDA">
        <w:rPr>
          <w:sz w:val="22"/>
          <w:szCs w:val="22"/>
        </w:rPr>
        <w:t xml:space="preserve"> seek to reform the Italian education system in the direction of a more flexible, mobile, modern and creative type of graduate. The set of skills that current cohorts of pupils and student</w:t>
      </w:r>
      <w:r w:rsidR="008E58B9" w:rsidRPr="00A93DDA">
        <w:rPr>
          <w:sz w:val="22"/>
          <w:szCs w:val="22"/>
        </w:rPr>
        <w:t>s need to succeed in a globalised and open European economy is not easy to put down in a curriculum. But creativity, out-of-the-box thinking and communication skills help Italian youngsters be the jacks-of-more-trades that entrepreneurial ventures look for.</w:t>
      </w:r>
    </w:p>
    <w:p w14:paraId="1EA2C02A" w14:textId="77777777" w:rsidR="00CF717A" w:rsidRPr="00A93DDA" w:rsidRDefault="00CF717A" w:rsidP="00CF717A">
      <w:pPr>
        <w:pStyle w:val="Heading2"/>
        <w:spacing w:before="240"/>
      </w:pPr>
      <w:r w:rsidRPr="00A93DDA">
        <w:t xml:space="preserve">Section 3: </w:t>
      </w:r>
      <w:r w:rsidR="00496821" w:rsidRPr="00A93DDA">
        <w:t>Concluding remarks</w:t>
      </w:r>
    </w:p>
    <w:p w14:paraId="64B2DD27" w14:textId="397392D9" w:rsidR="00D819B9" w:rsidRPr="00A93DDA" w:rsidRDefault="00D819B9" w:rsidP="00D819B9">
      <w:pPr>
        <w:spacing w:line="276" w:lineRule="auto"/>
        <w:jc w:val="both"/>
        <w:rPr>
          <w:sz w:val="22"/>
          <w:szCs w:val="22"/>
        </w:rPr>
      </w:pPr>
      <w:r w:rsidRPr="00A93DDA">
        <w:rPr>
          <w:sz w:val="22"/>
          <w:szCs w:val="22"/>
        </w:rPr>
        <w:t>The proposals</w:t>
      </w:r>
      <w:r w:rsidR="006712D3">
        <w:rPr>
          <w:sz w:val="22"/>
          <w:szCs w:val="22"/>
        </w:rPr>
        <w:t>,</w:t>
      </w:r>
      <w:r w:rsidRPr="00A93DDA">
        <w:rPr>
          <w:sz w:val="22"/>
          <w:szCs w:val="22"/>
        </w:rPr>
        <w:t xml:space="preserve"> individually and in combination</w:t>
      </w:r>
      <w:r w:rsidR="006712D3">
        <w:rPr>
          <w:sz w:val="22"/>
          <w:szCs w:val="22"/>
        </w:rPr>
        <w:t>,</w:t>
      </w:r>
      <w:r w:rsidRPr="00A93DDA">
        <w:rPr>
          <w:sz w:val="22"/>
          <w:szCs w:val="22"/>
        </w:rPr>
        <w:t xml:space="preserve"> aim to strengthen the knowledge base and talent pool from which Italian entrepreneurs can draw and aim to open opportunities for not only starting but also growing firms in all regions in Italy. All regions stand to benefit from these interventions. But</w:t>
      </w:r>
      <w:r w:rsidR="003C28F4">
        <w:rPr>
          <w:sz w:val="22"/>
          <w:szCs w:val="22"/>
        </w:rPr>
        <w:t>, due to</w:t>
      </w:r>
      <w:r w:rsidRPr="00A93DDA">
        <w:rPr>
          <w:sz w:val="22"/>
          <w:szCs w:val="22"/>
        </w:rPr>
        <w:t xml:space="preserve"> the fact that density and clustering tend to promote the quality and impact of entrepreneurial venturing, the same policy improvements will probably benefit already prosperous regions most. </w:t>
      </w:r>
      <w:r w:rsidR="00430E96">
        <w:rPr>
          <w:sz w:val="22"/>
          <w:szCs w:val="22"/>
        </w:rPr>
        <w:t>Nevertheless</w:t>
      </w:r>
      <w:r w:rsidRPr="00A93DDA">
        <w:rPr>
          <w:sz w:val="22"/>
          <w:szCs w:val="22"/>
        </w:rPr>
        <w:t xml:space="preserve">, that should not stop policy makers from pursuing these interventions as it </w:t>
      </w:r>
      <w:r w:rsidRPr="00A93DDA">
        <w:rPr>
          <w:sz w:val="22"/>
          <w:szCs w:val="22"/>
        </w:rPr>
        <w:t>is the Italian citizens, not its regions per se</w:t>
      </w:r>
      <w:r w:rsidR="003C28F4">
        <w:rPr>
          <w:sz w:val="22"/>
          <w:szCs w:val="22"/>
        </w:rPr>
        <w:t>,</w:t>
      </w:r>
      <w:r w:rsidRPr="00A93DDA">
        <w:rPr>
          <w:sz w:val="22"/>
          <w:szCs w:val="22"/>
        </w:rPr>
        <w:t xml:space="preserve"> that the national government should care about. It is advisable, however, to also set up automatic transfer systems that will help maintain high quality of life throughout the country.  </w:t>
      </w:r>
    </w:p>
    <w:p w14:paraId="3CDB0F77" w14:textId="77777777" w:rsidR="000056BA" w:rsidRPr="00A93DDA" w:rsidRDefault="00D819B9" w:rsidP="00D819B9">
      <w:pPr>
        <w:spacing w:line="276" w:lineRule="auto"/>
        <w:jc w:val="both"/>
        <w:rPr>
          <w:sz w:val="22"/>
          <w:szCs w:val="22"/>
        </w:rPr>
      </w:pPr>
      <w:r w:rsidRPr="00A93DDA">
        <w:rPr>
          <w:sz w:val="22"/>
          <w:szCs w:val="22"/>
        </w:rPr>
        <w:t>Of course these proposals will need a much more detailed discussion and only form the starting point, not the final word in the policy debate. Moreover, even if eventually adopted, our proposals all require careful implementation and evaluation to complete the 7-step policy cycle presented in Box 1. But based on our analysis of the situation, we propose the patient consider this set of interventions to restore health to its ailing entrepreneurial ecosystem.</w:t>
      </w:r>
    </w:p>
    <w:p w14:paraId="2883D3E3" w14:textId="77777777" w:rsidR="00C3678D" w:rsidRDefault="00C3678D">
      <w:pPr>
        <w:spacing w:line="240" w:lineRule="auto"/>
        <w:rPr>
          <w:rFonts w:eastAsia="MS Gothic"/>
          <w:b/>
          <w:bCs/>
          <w:color w:val="002087"/>
          <w:sz w:val="30"/>
          <w:szCs w:val="28"/>
        </w:rPr>
      </w:pPr>
      <w:r>
        <w:br w:type="page"/>
      </w:r>
    </w:p>
    <w:p w14:paraId="3AED0A18" w14:textId="672599A2" w:rsidR="000056BA" w:rsidRPr="00A93DDA" w:rsidRDefault="00496821" w:rsidP="000056BA">
      <w:pPr>
        <w:pStyle w:val="Heading2"/>
        <w:pBdr>
          <w:bottom w:val="single" w:sz="2" w:space="1" w:color="003399"/>
        </w:pBdr>
        <w:spacing w:before="240"/>
      </w:pPr>
      <w:r w:rsidRPr="00A93DDA">
        <w:lastRenderedPageBreak/>
        <w:t>Sources and further reading</w:t>
      </w:r>
      <w:r w:rsidR="000056BA" w:rsidRPr="00A93DDA">
        <w:t>:</w:t>
      </w:r>
    </w:p>
    <w:p w14:paraId="7F4993C8" w14:textId="77777777" w:rsidR="00C3678D" w:rsidRDefault="00C3678D" w:rsidP="00590D2F">
      <w:pPr>
        <w:autoSpaceDE w:val="0"/>
        <w:autoSpaceDN w:val="0"/>
        <w:adjustRightInd w:val="0"/>
        <w:spacing w:line="240" w:lineRule="auto"/>
        <w:jc w:val="both"/>
        <w:rPr>
          <w:rFonts w:asciiTheme="minorHAnsi" w:hAnsiTheme="minorHAnsi" w:cstheme="minorHAnsi"/>
          <w:color w:val="000000"/>
          <w:sz w:val="22"/>
          <w:szCs w:val="22"/>
        </w:rPr>
        <w:sectPr w:rsidR="00C3678D" w:rsidSect="00CF1E7E">
          <w:type w:val="continuous"/>
          <w:pgSz w:w="11900" w:h="16840"/>
          <w:pgMar w:top="1680" w:right="1417" w:bottom="1417" w:left="1417" w:header="426" w:footer="596" w:gutter="0"/>
          <w:cols w:num="2" w:space="708"/>
          <w:titlePg/>
          <w:docGrid w:linePitch="360"/>
        </w:sectPr>
      </w:pPr>
    </w:p>
    <w:p w14:paraId="45357EAB" w14:textId="60AECD66" w:rsidR="00C3678D" w:rsidRPr="00C3678D" w:rsidRDefault="00C3678D" w:rsidP="00590D2F">
      <w:pPr>
        <w:autoSpaceDE w:val="0"/>
        <w:autoSpaceDN w:val="0"/>
        <w:adjustRightInd w:val="0"/>
        <w:spacing w:line="240" w:lineRule="auto"/>
        <w:jc w:val="both"/>
        <w:rPr>
          <w:rFonts w:asciiTheme="minorHAnsi" w:hAnsiTheme="minorHAnsi" w:cstheme="minorHAnsi"/>
          <w:i/>
          <w:color w:val="000000"/>
          <w:sz w:val="22"/>
          <w:szCs w:val="22"/>
        </w:rPr>
      </w:pPr>
      <w:r>
        <w:rPr>
          <w:rFonts w:asciiTheme="minorHAnsi" w:hAnsiTheme="minorHAnsi" w:cstheme="minorHAnsi"/>
          <w:i/>
          <w:color w:val="000000"/>
          <w:sz w:val="22"/>
          <w:szCs w:val="22"/>
        </w:rPr>
        <w:t>References:</w:t>
      </w:r>
    </w:p>
    <w:p w14:paraId="30D18AF1" w14:textId="0105590A" w:rsidR="00590D2F" w:rsidRPr="00590D2F" w:rsidRDefault="00590D2F" w:rsidP="00590D2F">
      <w:pPr>
        <w:autoSpaceDE w:val="0"/>
        <w:autoSpaceDN w:val="0"/>
        <w:adjustRightInd w:val="0"/>
        <w:spacing w:line="240" w:lineRule="auto"/>
        <w:jc w:val="both"/>
        <w:rPr>
          <w:rFonts w:asciiTheme="minorHAnsi" w:hAnsiTheme="minorHAnsi" w:cstheme="minorHAnsi"/>
          <w:color w:val="000000"/>
          <w:sz w:val="22"/>
          <w:szCs w:val="22"/>
        </w:rPr>
      </w:pPr>
      <w:r w:rsidRPr="00590D2F">
        <w:rPr>
          <w:rFonts w:asciiTheme="minorHAnsi" w:hAnsiTheme="minorHAnsi" w:cstheme="minorHAnsi"/>
          <w:color w:val="000000"/>
          <w:sz w:val="22"/>
          <w:szCs w:val="22"/>
        </w:rPr>
        <w:t xml:space="preserve">Acs, Z. and L. Szerb (2012) </w:t>
      </w:r>
      <w:r w:rsidRPr="00590D2F">
        <w:rPr>
          <w:rFonts w:asciiTheme="minorHAnsi" w:hAnsiTheme="minorHAnsi" w:cstheme="minorHAnsi"/>
          <w:i/>
          <w:color w:val="000000"/>
          <w:sz w:val="22"/>
          <w:szCs w:val="22"/>
        </w:rPr>
        <w:t>Global Entrepreneurship and Development Index</w:t>
      </w:r>
      <w:r>
        <w:rPr>
          <w:rFonts w:asciiTheme="minorHAnsi" w:hAnsiTheme="minorHAnsi" w:cstheme="minorHAnsi"/>
          <w:color w:val="000000"/>
          <w:sz w:val="22"/>
          <w:szCs w:val="22"/>
        </w:rPr>
        <w:t xml:space="preserve">, Cheltenham: Edward Elgar Publishers. </w:t>
      </w:r>
    </w:p>
    <w:p w14:paraId="2AF01D99" w14:textId="110E12BF" w:rsidR="00590D2F" w:rsidRDefault="00590D2F" w:rsidP="00DE430E">
      <w:pPr>
        <w:autoSpaceDE w:val="0"/>
        <w:autoSpaceDN w:val="0"/>
        <w:adjustRightInd w:val="0"/>
        <w:spacing w:line="240" w:lineRule="auto"/>
        <w:jc w:val="both"/>
        <w:rPr>
          <w:rFonts w:asciiTheme="minorHAnsi" w:hAnsiTheme="minorHAnsi" w:cstheme="minorHAnsi"/>
          <w:sz w:val="22"/>
          <w:szCs w:val="22"/>
          <w:lang w:val="en-US"/>
        </w:rPr>
      </w:pPr>
      <w:r w:rsidRPr="00590D2F">
        <w:rPr>
          <w:rFonts w:asciiTheme="minorHAnsi" w:hAnsiTheme="minorHAnsi" w:cstheme="minorHAnsi"/>
          <w:sz w:val="22"/>
          <w:szCs w:val="22"/>
          <w:lang w:val="en-US"/>
        </w:rPr>
        <w:t>Dilli, S., Elert, N., &amp; Herrmann, A. (2018). Varieties</w:t>
      </w:r>
      <w:r>
        <w:rPr>
          <w:rFonts w:asciiTheme="minorHAnsi" w:hAnsiTheme="minorHAnsi" w:cstheme="minorHAnsi"/>
          <w:color w:val="000000"/>
          <w:sz w:val="22"/>
          <w:szCs w:val="22"/>
        </w:rPr>
        <w:t xml:space="preserve"> </w:t>
      </w:r>
      <w:r w:rsidRPr="00590D2F">
        <w:rPr>
          <w:rFonts w:asciiTheme="minorHAnsi" w:hAnsiTheme="minorHAnsi" w:cstheme="minorHAnsi"/>
          <w:sz w:val="22"/>
          <w:szCs w:val="22"/>
          <w:lang w:val="en-US"/>
        </w:rPr>
        <w:t>of entrepreneurship: exploring the institutional</w:t>
      </w:r>
      <w:r>
        <w:rPr>
          <w:rFonts w:asciiTheme="minorHAnsi" w:hAnsiTheme="minorHAnsi" w:cstheme="minorHAnsi"/>
          <w:sz w:val="22"/>
          <w:szCs w:val="22"/>
          <w:lang w:val="en-US"/>
        </w:rPr>
        <w:t xml:space="preserve"> </w:t>
      </w:r>
      <w:r w:rsidRPr="00590D2F">
        <w:rPr>
          <w:rFonts w:asciiTheme="minorHAnsi" w:hAnsiTheme="minorHAnsi" w:cstheme="minorHAnsi"/>
          <w:sz w:val="22"/>
          <w:szCs w:val="22"/>
          <w:lang w:val="en-US"/>
        </w:rPr>
        <w:t>foundations of different entrepreneurship types</w:t>
      </w:r>
      <w:r>
        <w:rPr>
          <w:rFonts w:asciiTheme="minorHAnsi" w:hAnsiTheme="minorHAnsi" w:cstheme="minorHAnsi"/>
          <w:sz w:val="22"/>
          <w:szCs w:val="22"/>
          <w:lang w:val="en-US"/>
        </w:rPr>
        <w:t xml:space="preserve"> </w:t>
      </w:r>
      <w:r w:rsidRPr="00590D2F">
        <w:rPr>
          <w:rFonts w:asciiTheme="minorHAnsi" w:hAnsiTheme="minorHAnsi" w:cstheme="minorHAnsi"/>
          <w:sz w:val="22"/>
          <w:szCs w:val="22"/>
          <w:lang w:val="en-US"/>
        </w:rPr>
        <w:t>through “varieties-of-capitalism” arguments. Small Business Economics. Forthcoming</w:t>
      </w:r>
    </w:p>
    <w:p w14:paraId="63F1D0DF" w14:textId="2EA85660" w:rsidR="001131DF" w:rsidRPr="00C3678D" w:rsidRDefault="001131DF" w:rsidP="00DE430E">
      <w:pPr>
        <w:autoSpaceDE w:val="0"/>
        <w:autoSpaceDN w:val="0"/>
        <w:adjustRightInd w:val="0"/>
        <w:spacing w:line="240" w:lineRule="auto"/>
        <w:jc w:val="both"/>
        <w:rPr>
          <w:rFonts w:asciiTheme="minorHAnsi" w:hAnsiTheme="minorHAnsi" w:cstheme="minorHAnsi"/>
          <w:sz w:val="22"/>
          <w:szCs w:val="22"/>
          <w:lang w:val="en-US"/>
        </w:rPr>
      </w:pPr>
      <w:r>
        <w:rPr>
          <w:rFonts w:asciiTheme="minorHAnsi" w:hAnsiTheme="minorHAnsi" w:cstheme="minorHAnsi"/>
          <w:sz w:val="22"/>
          <w:szCs w:val="22"/>
          <w:lang w:val="en-US"/>
        </w:rPr>
        <w:t xml:space="preserve">Worldbank (2018). </w:t>
      </w:r>
      <w:r w:rsidR="002D3613">
        <w:rPr>
          <w:rFonts w:asciiTheme="minorHAnsi" w:hAnsiTheme="minorHAnsi" w:cstheme="minorHAnsi"/>
          <w:i/>
          <w:sz w:val="22"/>
          <w:szCs w:val="22"/>
          <w:lang w:val="en-US"/>
        </w:rPr>
        <w:t>Doing Business</w:t>
      </w:r>
      <w:r w:rsidRPr="001131DF">
        <w:rPr>
          <w:rFonts w:asciiTheme="minorHAnsi" w:hAnsiTheme="minorHAnsi" w:cstheme="minorHAnsi"/>
          <w:i/>
          <w:sz w:val="22"/>
          <w:szCs w:val="22"/>
          <w:lang w:val="en-US"/>
        </w:rPr>
        <w:t xml:space="preserve"> 2018</w:t>
      </w:r>
      <w:r>
        <w:rPr>
          <w:rFonts w:asciiTheme="minorHAnsi" w:hAnsiTheme="minorHAnsi" w:cstheme="minorHAnsi"/>
          <w:sz w:val="22"/>
          <w:szCs w:val="22"/>
          <w:lang w:val="en-US"/>
        </w:rPr>
        <w:t>. Washington DC: Worldbank.</w:t>
      </w:r>
      <w:r w:rsidR="00F66C30">
        <w:rPr>
          <w:rFonts w:asciiTheme="minorHAnsi" w:hAnsiTheme="minorHAnsi" w:cstheme="minorHAnsi"/>
          <w:sz w:val="22"/>
          <w:szCs w:val="22"/>
          <w:lang w:val="en-US"/>
        </w:rPr>
        <w:t xml:space="preserve"> Downloadable </w:t>
      </w:r>
      <w:hyperlink r:id="rId29" w:history="1">
        <w:r w:rsidR="00F66C30" w:rsidRPr="00F66C30">
          <w:rPr>
            <w:rStyle w:val="Hyperlink"/>
            <w:rFonts w:asciiTheme="minorHAnsi" w:hAnsiTheme="minorHAnsi" w:cstheme="minorHAnsi"/>
            <w:sz w:val="22"/>
            <w:szCs w:val="22"/>
            <w:lang w:val="en-US"/>
          </w:rPr>
          <w:t>here</w:t>
        </w:r>
      </w:hyperlink>
      <w:r w:rsidR="00F66C30">
        <w:rPr>
          <w:rFonts w:asciiTheme="minorHAnsi" w:hAnsiTheme="minorHAnsi" w:cstheme="minorHAnsi"/>
          <w:sz w:val="22"/>
          <w:szCs w:val="22"/>
          <w:lang w:val="en-US"/>
        </w:rPr>
        <w:t>.</w:t>
      </w:r>
    </w:p>
    <w:p w14:paraId="32EE633E" w14:textId="77777777" w:rsidR="00590D2F" w:rsidRPr="00A93DDA" w:rsidRDefault="00590D2F" w:rsidP="00DE430E">
      <w:pPr>
        <w:autoSpaceDE w:val="0"/>
        <w:autoSpaceDN w:val="0"/>
        <w:adjustRightInd w:val="0"/>
        <w:spacing w:line="240" w:lineRule="auto"/>
        <w:jc w:val="both"/>
        <w:rPr>
          <w:rFonts w:cs="Calibri"/>
          <w:i/>
          <w:color w:val="000000"/>
          <w:sz w:val="22"/>
          <w:szCs w:val="22"/>
        </w:rPr>
      </w:pPr>
    </w:p>
    <w:p w14:paraId="199539FF" w14:textId="77777777" w:rsidR="00B015BE" w:rsidRPr="00A93DDA" w:rsidRDefault="004A71F6" w:rsidP="00DE430E">
      <w:pPr>
        <w:autoSpaceDE w:val="0"/>
        <w:autoSpaceDN w:val="0"/>
        <w:adjustRightInd w:val="0"/>
        <w:spacing w:line="240" w:lineRule="auto"/>
        <w:jc w:val="both"/>
        <w:rPr>
          <w:rFonts w:cs="Calibri"/>
          <w:i/>
          <w:color w:val="000000"/>
          <w:sz w:val="22"/>
          <w:szCs w:val="22"/>
        </w:rPr>
      </w:pPr>
      <w:r w:rsidRPr="00A93DDA">
        <w:rPr>
          <w:rFonts w:cs="Calibri"/>
          <w:i/>
          <w:color w:val="000000"/>
          <w:sz w:val="22"/>
          <w:szCs w:val="22"/>
        </w:rPr>
        <w:t>All FIRES-reports and policy briefs on:</w:t>
      </w:r>
    </w:p>
    <w:p w14:paraId="0CDEB512" w14:textId="77777777" w:rsidR="004A71F6" w:rsidRPr="00A93DDA" w:rsidRDefault="00E56A76" w:rsidP="00DE430E">
      <w:pPr>
        <w:autoSpaceDE w:val="0"/>
        <w:autoSpaceDN w:val="0"/>
        <w:adjustRightInd w:val="0"/>
        <w:spacing w:line="240" w:lineRule="auto"/>
        <w:jc w:val="both"/>
        <w:rPr>
          <w:rFonts w:cs="Calibri"/>
          <w:color w:val="000000"/>
          <w:sz w:val="22"/>
          <w:szCs w:val="22"/>
        </w:rPr>
      </w:pPr>
      <w:hyperlink r:id="rId30" w:history="1">
        <w:r w:rsidR="004A71F6" w:rsidRPr="00A93DDA">
          <w:rPr>
            <w:rStyle w:val="Hyperlink"/>
            <w:rFonts w:cs="Calibri"/>
            <w:sz w:val="22"/>
            <w:szCs w:val="22"/>
          </w:rPr>
          <w:t>www.projectfires.eu</w:t>
        </w:r>
      </w:hyperlink>
    </w:p>
    <w:p w14:paraId="56D52750" w14:textId="77777777" w:rsidR="004A71F6" w:rsidRPr="00A93DDA" w:rsidRDefault="004A71F6" w:rsidP="00DE430E">
      <w:pPr>
        <w:autoSpaceDE w:val="0"/>
        <w:autoSpaceDN w:val="0"/>
        <w:adjustRightInd w:val="0"/>
        <w:spacing w:line="240" w:lineRule="auto"/>
        <w:jc w:val="both"/>
        <w:rPr>
          <w:rFonts w:cs="Calibri"/>
          <w:color w:val="000000"/>
          <w:sz w:val="22"/>
          <w:szCs w:val="22"/>
        </w:rPr>
      </w:pPr>
    </w:p>
    <w:p w14:paraId="4A52159B" w14:textId="77777777" w:rsidR="008E58B9" w:rsidRPr="00A93DDA" w:rsidRDefault="008E58B9" w:rsidP="00DE430E">
      <w:pPr>
        <w:autoSpaceDE w:val="0"/>
        <w:autoSpaceDN w:val="0"/>
        <w:adjustRightInd w:val="0"/>
        <w:spacing w:line="240" w:lineRule="auto"/>
        <w:jc w:val="both"/>
        <w:rPr>
          <w:rFonts w:cs="Calibri"/>
          <w:i/>
          <w:color w:val="000000"/>
          <w:sz w:val="22"/>
          <w:szCs w:val="22"/>
        </w:rPr>
      </w:pPr>
      <w:r w:rsidRPr="00A93DDA">
        <w:rPr>
          <w:rFonts w:cs="Calibri"/>
          <w:i/>
          <w:color w:val="000000"/>
          <w:sz w:val="22"/>
          <w:szCs w:val="22"/>
        </w:rPr>
        <w:t>Most relevant FIRES-deliverables:</w:t>
      </w:r>
    </w:p>
    <w:p w14:paraId="4A13CA94" w14:textId="77777777" w:rsidR="008E58B9" w:rsidRPr="00A93DDA" w:rsidRDefault="00E56A76" w:rsidP="00DE430E">
      <w:pPr>
        <w:autoSpaceDE w:val="0"/>
        <w:autoSpaceDN w:val="0"/>
        <w:adjustRightInd w:val="0"/>
        <w:spacing w:line="240" w:lineRule="auto"/>
        <w:jc w:val="both"/>
        <w:rPr>
          <w:rFonts w:cs="Calibri"/>
          <w:color w:val="000000"/>
          <w:sz w:val="22"/>
          <w:szCs w:val="22"/>
        </w:rPr>
      </w:pPr>
      <w:hyperlink r:id="rId31" w:history="1">
        <w:r w:rsidR="008E58B9" w:rsidRPr="00A93DDA">
          <w:rPr>
            <w:rStyle w:val="Hyperlink"/>
            <w:rFonts w:cs="Calibri"/>
            <w:sz w:val="22"/>
            <w:szCs w:val="22"/>
          </w:rPr>
          <w:t>D4.1</w:t>
        </w:r>
      </w:hyperlink>
      <w:r w:rsidR="008E58B9" w:rsidRPr="00A93DDA">
        <w:rPr>
          <w:rFonts w:cs="Calibri"/>
          <w:color w:val="000000"/>
          <w:sz w:val="22"/>
          <w:szCs w:val="22"/>
        </w:rPr>
        <w:t xml:space="preserve"> Report on the Extension of the GEDI-Indicator</w:t>
      </w:r>
    </w:p>
    <w:p w14:paraId="744F5F7D" w14:textId="77777777" w:rsidR="008E58B9" w:rsidRPr="00A93DDA" w:rsidRDefault="00E56A76" w:rsidP="00DE430E">
      <w:pPr>
        <w:autoSpaceDE w:val="0"/>
        <w:autoSpaceDN w:val="0"/>
        <w:adjustRightInd w:val="0"/>
        <w:spacing w:line="240" w:lineRule="auto"/>
        <w:jc w:val="both"/>
        <w:rPr>
          <w:rFonts w:cs="Calibri"/>
          <w:color w:val="000000"/>
          <w:sz w:val="22"/>
          <w:szCs w:val="22"/>
        </w:rPr>
      </w:pPr>
      <w:hyperlink r:id="rId32" w:history="1">
        <w:r w:rsidR="008E58B9" w:rsidRPr="00A93DDA">
          <w:rPr>
            <w:rStyle w:val="Hyperlink"/>
            <w:rFonts w:cs="Calibri"/>
            <w:sz w:val="22"/>
            <w:szCs w:val="22"/>
          </w:rPr>
          <w:t>D4.4</w:t>
        </w:r>
      </w:hyperlink>
      <w:r w:rsidR="008E58B9" w:rsidRPr="00A93DDA">
        <w:rPr>
          <w:rFonts w:cs="Calibri"/>
          <w:color w:val="000000"/>
          <w:sz w:val="22"/>
          <w:szCs w:val="22"/>
        </w:rPr>
        <w:t xml:space="preserve"> Regional Entrepreneurship and Development Index: Structure, data, Methodology and Policy Applications</w:t>
      </w:r>
    </w:p>
    <w:p w14:paraId="240F2271" w14:textId="77777777" w:rsidR="008E58B9" w:rsidRPr="00A93DDA" w:rsidRDefault="008E58B9" w:rsidP="00DE430E">
      <w:pPr>
        <w:autoSpaceDE w:val="0"/>
        <w:autoSpaceDN w:val="0"/>
        <w:adjustRightInd w:val="0"/>
        <w:spacing w:line="240" w:lineRule="auto"/>
        <w:jc w:val="both"/>
        <w:rPr>
          <w:rFonts w:cs="Calibri"/>
          <w:color w:val="000000"/>
          <w:sz w:val="22"/>
          <w:szCs w:val="22"/>
        </w:rPr>
      </w:pPr>
      <w:r w:rsidRPr="00A93DDA">
        <w:rPr>
          <w:rFonts w:cs="Calibri"/>
          <w:color w:val="000000"/>
          <w:sz w:val="22"/>
          <w:szCs w:val="22"/>
        </w:rPr>
        <w:t xml:space="preserve">D5.1 </w:t>
      </w:r>
      <w:r w:rsidR="004A71F6" w:rsidRPr="00A93DDA">
        <w:rPr>
          <w:rFonts w:cs="Calibri"/>
          <w:color w:val="000000"/>
          <w:sz w:val="22"/>
          <w:szCs w:val="22"/>
        </w:rPr>
        <w:t>Report on Start-up Processes in Italy, Germany and the UK</w:t>
      </w:r>
    </w:p>
    <w:p w14:paraId="73A90F68" w14:textId="77777777" w:rsidR="008E58B9" w:rsidRPr="00A93DDA" w:rsidRDefault="00E56A76" w:rsidP="00DE430E">
      <w:pPr>
        <w:autoSpaceDE w:val="0"/>
        <w:autoSpaceDN w:val="0"/>
        <w:adjustRightInd w:val="0"/>
        <w:spacing w:line="240" w:lineRule="auto"/>
        <w:jc w:val="both"/>
        <w:rPr>
          <w:rFonts w:cs="Calibri"/>
          <w:color w:val="000000"/>
          <w:sz w:val="22"/>
          <w:szCs w:val="22"/>
        </w:rPr>
      </w:pPr>
      <w:hyperlink r:id="rId33" w:history="1">
        <w:r w:rsidR="008E58B9" w:rsidRPr="00A93DDA">
          <w:rPr>
            <w:rStyle w:val="Hyperlink"/>
            <w:rFonts w:cs="Calibri"/>
            <w:sz w:val="22"/>
            <w:szCs w:val="22"/>
          </w:rPr>
          <w:t>D5.6</w:t>
        </w:r>
      </w:hyperlink>
      <w:r w:rsidR="008E58B9" w:rsidRPr="00A93DDA">
        <w:rPr>
          <w:rFonts w:cs="Calibri"/>
          <w:color w:val="000000"/>
          <w:sz w:val="22"/>
          <w:szCs w:val="22"/>
        </w:rPr>
        <w:t xml:space="preserve"> Case study on Italy’s Young Innovative Companies Program</w:t>
      </w:r>
    </w:p>
    <w:p w14:paraId="37C0F820" w14:textId="49DA4183" w:rsidR="008E58B9" w:rsidRPr="00A93DDA" w:rsidRDefault="008E58B9" w:rsidP="008E58B9">
      <w:pPr>
        <w:autoSpaceDE w:val="0"/>
        <w:autoSpaceDN w:val="0"/>
        <w:adjustRightInd w:val="0"/>
        <w:spacing w:line="240" w:lineRule="auto"/>
        <w:jc w:val="both"/>
        <w:rPr>
          <w:rFonts w:cs="Calibri"/>
          <w:color w:val="000000"/>
          <w:sz w:val="22"/>
          <w:szCs w:val="22"/>
        </w:rPr>
      </w:pPr>
      <w:r w:rsidRPr="007331D9">
        <w:rPr>
          <w:rFonts w:cs="Calibri"/>
          <w:sz w:val="22"/>
          <w:szCs w:val="22"/>
        </w:rPr>
        <w:t>D5.12</w:t>
      </w:r>
      <w:r w:rsidRPr="00A93DDA">
        <w:rPr>
          <w:rFonts w:cs="Calibri"/>
          <w:color w:val="000000"/>
          <w:sz w:val="22"/>
          <w:szCs w:val="22"/>
        </w:rPr>
        <w:t xml:space="preserve"> Part I: The FIRES Reform Strategy</w:t>
      </w:r>
    </w:p>
    <w:p w14:paraId="00FBBA79" w14:textId="21C7A2B1" w:rsidR="004A71F6" w:rsidRPr="00A93DDA" w:rsidRDefault="007331D9" w:rsidP="008E58B9">
      <w:pPr>
        <w:autoSpaceDE w:val="0"/>
        <w:autoSpaceDN w:val="0"/>
        <w:adjustRightInd w:val="0"/>
        <w:spacing w:line="240" w:lineRule="auto"/>
        <w:jc w:val="both"/>
        <w:rPr>
          <w:rFonts w:cs="Calibri"/>
          <w:color w:val="000000"/>
          <w:sz w:val="22"/>
          <w:szCs w:val="22"/>
        </w:rPr>
      </w:pPr>
      <w:hyperlink r:id="rId34" w:history="1">
        <w:r w:rsidR="004A71F6" w:rsidRPr="007331D9">
          <w:rPr>
            <w:rStyle w:val="Hyperlink"/>
            <w:rFonts w:cs="Calibri"/>
            <w:sz w:val="22"/>
            <w:szCs w:val="22"/>
          </w:rPr>
          <w:t>D5.12</w:t>
        </w:r>
      </w:hyperlink>
      <w:bookmarkStart w:id="3" w:name="_GoBack"/>
      <w:bookmarkEnd w:id="3"/>
      <w:r w:rsidR="004A71F6" w:rsidRPr="00A93DDA">
        <w:rPr>
          <w:rFonts w:cs="Calibri"/>
          <w:color w:val="000000"/>
          <w:sz w:val="22"/>
          <w:szCs w:val="22"/>
        </w:rPr>
        <w:t xml:space="preserve"> Part II: The FIRES Reform Strategy for Italy</w:t>
      </w:r>
    </w:p>
    <w:p w14:paraId="542D5513" w14:textId="77777777" w:rsidR="00A93DDA" w:rsidRPr="00A93DDA" w:rsidRDefault="00A93DDA">
      <w:pPr>
        <w:autoSpaceDE w:val="0"/>
        <w:autoSpaceDN w:val="0"/>
        <w:adjustRightInd w:val="0"/>
        <w:spacing w:line="580" w:lineRule="atLeast"/>
        <w:jc w:val="center"/>
        <w:rPr>
          <w:rFonts w:cs="Calibri"/>
          <w:b/>
          <w:bCs/>
          <w:color w:val="FFFFFF"/>
          <w:sz w:val="48"/>
          <w:szCs w:val="48"/>
        </w:rPr>
        <w:sectPr w:rsidR="00A93DDA" w:rsidRPr="00A93DDA" w:rsidSect="00C3678D">
          <w:type w:val="continuous"/>
          <w:pgSz w:w="11900" w:h="16840"/>
          <w:pgMar w:top="1680" w:right="1417" w:bottom="1417" w:left="1417" w:header="426" w:footer="596" w:gutter="0"/>
          <w:cols w:space="708"/>
          <w:titlePg/>
          <w:docGrid w:linePitch="360"/>
        </w:sectPr>
      </w:pPr>
    </w:p>
    <w:p w14:paraId="15855355" w14:textId="44D60465" w:rsidR="00590D2F" w:rsidRDefault="00590D2F">
      <w:pPr>
        <w:spacing w:line="240" w:lineRule="auto"/>
      </w:pPr>
    </w:p>
    <w:p w14:paraId="2582B9A4" w14:textId="77777777" w:rsidR="001F366F" w:rsidRPr="00A93DDA" w:rsidRDefault="001F366F" w:rsidP="001F366F">
      <w:pPr>
        <w:autoSpaceDE w:val="0"/>
        <w:autoSpaceDN w:val="0"/>
        <w:adjustRightInd w:val="0"/>
        <w:spacing w:line="240" w:lineRule="auto"/>
        <w:jc w:val="both"/>
        <w:rPr>
          <w:rFonts w:cs="Calibri"/>
          <w:color w:val="000000"/>
          <w:szCs w:val="22"/>
        </w:rPr>
      </w:pPr>
      <w:r w:rsidRPr="00A93DDA">
        <w:rPr>
          <w:sz w:val="18"/>
        </w:rPr>
        <w:t xml:space="preserve">Disclaimer: </w:t>
      </w:r>
      <w:r w:rsidRPr="00A93DDA">
        <w:rPr>
          <w:rFonts w:cs="Calibri"/>
          <w:i/>
          <w:color w:val="000000"/>
          <w:szCs w:val="22"/>
        </w:rPr>
        <w:t>This project has received funding from the European Union’s Horizon 2020 research and innovation programme under grant agreement No 649378. This  policy brief express only the author's views and that the Agency is not responsible for any use that may be made of the information it contains.</w:t>
      </w:r>
    </w:p>
    <w:p w14:paraId="61737600" w14:textId="77777777" w:rsidR="001F366F" w:rsidRDefault="001F366F">
      <w:pPr>
        <w:spacing w:line="240" w:lineRule="auto"/>
        <w:rPr>
          <w:i/>
          <w:iCs/>
          <w:color w:val="002087" w:themeColor="text2"/>
          <w:sz w:val="18"/>
          <w:szCs w:val="18"/>
        </w:rPr>
      </w:pPr>
    </w:p>
    <w:p w14:paraId="7E338D0E" w14:textId="77777777" w:rsidR="001F366F" w:rsidRDefault="001F366F">
      <w:pPr>
        <w:spacing w:line="240" w:lineRule="auto"/>
        <w:rPr>
          <w:rFonts w:eastAsia="MS Gothic"/>
          <w:b/>
          <w:bCs/>
          <w:color w:val="002087"/>
          <w:sz w:val="30"/>
          <w:szCs w:val="28"/>
        </w:rPr>
      </w:pPr>
      <w:r>
        <w:br w:type="page"/>
      </w:r>
    </w:p>
    <w:p w14:paraId="3D3E83E9" w14:textId="231881AD" w:rsidR="00590D2F" w:rsidRPr="00A93DDA" w:rsidRDefault="00590D2F" w:rsidP="00590D2F">
      <w:pPr>
        <w:pStyle w:val="Heading2"/>
        <w:pBdr>
          <w:bottom w:val="single" w:sz="2" w:space="1" w:color="003399"/>
        </w:pBdr>
        <w:spacing w:before="240"/>
      </w:pPr>
      <w:r>
        <w:lastRenderedPageBreak/>
        <w:t>Appendix</w:t>
      </w:r>
    </w:p>
    <w:p w14:paraId="6A259EAE" w14:textId="39EB20D7" w:rsidR="00C1320F" w:rsidRDefault="00C1320F" w:rsidP="00C1320F">
      <w:pPr>
        <w:pStyle w:val="Caption"/>
        <w:keepNext/>
      </w:pPr>
      <w:r>
        <w:t xml:space="preserve">Table </w:t>
      </w:r>
      <w:r>
        <w:fldChar w:fldCharType="begin"/>
      </w:r>
      <w:r>
        <w:instrText xml:space="preserve"> SEQ Table \* ARABIC </w:instrText>
      </w:r>
      <w:r>
        <w:fldChar w:fldCharType="separate"/>
      </w:r>
      <w:r w:rsidR="00590D2F">
        <w:rPr>
          <w:noProof/>
        </w:rPr>
        <w:t>4</w:t>
      </w:r>
      <w:r>
        <w:fldChar w:fldCharType="end"/>
      </w:r>
      <w:r>
        <w:t>: Proposals for Italy</w:t>
      </w:r>
    </w:p>
    <w:tbl>
      <w:tblPr>
        <w:tblW w:w="53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
        <w:gridCol w:w="706"/>
        <w:gridCol w:w="1241"/>
        <w:gridCol w:w="2063"/>
        <w:gridCol w:w="3115"/>
        <w:gridCol w:w="2265"/>
      </w:tblGrid>
      <w:tr w:rsidR="00A93DDA" w:rsidRPr="00A93DDA" w14:paraId="52F46465" w14:textId="77777777" w:rsidTr="00C1320F">
        <w:tc>
          <w:tcPr>
            <w:tcW w:w="194" w:type="pct"/>
            <w:shd w:val="clear" w:color="auto" w:fill="01154D"/>
          </w:tcPr>
          <w:p w14:paraId="40456A47" w14:textId="77777777" w:rsidR="00A93DDA" w:rsidRPr="00A93DDA" w:rsidRDefault="00A93DDA" w:rsidP="00A93DDA">
            <w:pPr>
              <w:autoSpaceDE w:val="0"/>
              <w:autoSpaceDN w:val="0"/>
              <w:adjustRightInd w:val="0"/>
              <w:spacing w:line="240" w:lineRule="auto"/>
              <w:jc w:val="center"/>
              <w:rPr>
                <w:rFonts w:asciiTheme="minorHAnsi" w:hAnsiTheme="minorHAnsi" w:cs="Calibri"/>
                <w:b/>
                <w:bCs/>
                <w:color w:val="FFFFFF"/>
                <w:sz w:val="16"/>
                <w:szCs w:val="16"/>
              </w:rPr>
            </w:pPr>
            <w:r w:rsidRPr="00A93DDA">
              <w:rPr>
                <w:rFonts w:asciiTheme="minorHAnsi" w:hAnsiTheme="minorHAnsi" w:cs="Calibri"/>
                <w:b/>
                <w:bCs/>
                <w:color w:val="FFFFFF"/>
                <w:sz w:val="16"/>
                <w:szCs w:val="16"/>
              </w:rPr>
              <w:t>#</w:t>
            </w:r>
          </w:p>
        </w:tc>
        <w:tc>
          <w:tcPr>
            <w:tcW w:w="361" w:type="pct"/>
            <w:shd w:val="clear" w:color="auto" w:fill="01154D"/>
          </w:tcPr>
          <w:p w14:paraId="420B034E" w14:textId="77777777" w:rsidR="00A93DDA" w:rsidRPr="00A93DDA" w:rsidRDefault="00A93DDA" w:rsidP="00A93DDA">
            <w:pPr>
              <w:autoSpaceDE w:val="0"/>
              <w:autoSpaceDN w:val="0"/>
              <w:adjustRightInd w:val="0"/>
              <w:spacing w:line="240" w:lineRule="auto"/>
              <w:jc w:val="center"/>
              <w:rPr>
                <w:rFonts w:asciiTheme="minorHAnsi" w:hAnsiTheme="minorHAnsi" w:cs="Calibri"/>
                <w:b/>
                <w:bCs/>
                <w:color w:val="FFFFFF"/>
                <w:sz w:val="16"/>
                <w:szCs w:val="16"/>
              </w:rPr>
            </w:pPr>
            <w:r w:rsidRPr="00A93DDA">
              <w:rPr>
                <w:rFonts w:asciiTheme="minorHAnsi" w:hAnsiTheme="minorHAnsi" w:cs="Calibri"/>
                <w:b/>
                <w:bCs/>
                <w:color w:val="FFFFFF"/>
                <w:sz w:val="16"/>
                <w:szCs w:val="16"/>
              </w:rPr>
              <w:t>Section</w:t>
            </w:r>
          </w:p>
        </w:tc>
        <w:tc>
          <w:tcPr>
            <w:tcW w:w="635" w:type="pct"/>
            <w:shd w:val="clear" w:color="auto" w:fill="01154D"/>
          </w:tcPr>
          <w:p w14:paraId="3B8A9530" w14:textId="77777777" w:rsidR="00A93DDA" w:rsidRPr="00A93DDA" w:rsidRDefault="00A93DDA" w:rsidP="00A93DDA">
            <w:pPr>
              <w:autoSpaceDE w:val="0"/>
              <w:autoSpaceDN w:val="0"/>
              <w:adjustRightInd w:val="0"/>
              <w:spacing w:line="240" w:lineRule="auto"/>
              <w:jc w:val="center"/>
              <w:rPr>
                <w:rFonts w:asciiTheme="minorHAnsi" w:hAnsiTheme="minorHAnsi" w:cs="Calibri"/>
                <w:b/>
                <w:bCs/>
                <w:color w:val="FFFFFF"/>
                <w:sz w:val="16"/>
                <w:szCs w:val="16"/>
              </w:rPr>
            </w:pPr>
            <w:r w:rsidRPr="00A93DDA">
              <w:rPr>
                <w:rFonts w:asciiTheme="minorHAnsi" w:hAnsiTheme="minorHAnsi" w:cs="Calibri"/>
                <w:b/>
                <w:bCs/>
                <w:color w:val="FFFFFF"/>
                <w:sz w:val="16"/>
                <w:szCs w:val="16"/>
              </w:rPr>
              <w:t>Title</w:t>
            </w:r>
          </w:p>
        </w:tc>
        <w:tc>
          <w:tcPr>
            <w:tcW w:w="1056" w:type="pct"/>
            <w:shd w:val="clear" w:color="auto" w:fill="01154D"/>
          </w:tcPr>
          <w:p w14:paraId="4E8A21B6" w14:textId="77777777" w:rsidR="00A93DDA" w:rsidRPr="00A93DDA" w:rsidRDefault="00A93DDA" w:rsidP="00A93DDA">
            <w:pPr>
              <w:autoSpaceDE w:val="0"/>
              <w:autoSpaceDN w:val="0"/>
              <w:adjustRightInd w:val="0"/>
              <w:spacing w:line="240" w:lineRule="auto"/>
              <w:jc w:val="center"/>
              <w:rPr>
                <w:rFonts w:asciiTheme="minorHAnsi" w:hAnsiTheme="minorHAnsi" w:cs="Calibri"/>
                <w:b/>
                <w:bCs/>
                <w:color w:val="FFFFFF"/>
                <w:sz w:val="16"/>
                <w:szCs w:val="16"/>
              </w:rPr>
            </w:pPr>
            <w:r w:rsidRPr="00A93DDA">
              <w:rPr>
                <w:rFonts w:asciiTheme="minorHAnsi" w:hAnsiTheme="minorHAnsi" w:cs="Calibri"/>
                <w:b/>
                <w:bCs/>
                <w:color w:val="FFFFFF"/>
                <w:sz w:val="16"/>
                <w:szCs w:val="16"/>
              </w:rPr>
              <w:t>Proposal</w:t>
            </w:r>
          </w:p>
        </w:tc>
        <w:tc>
          <w:tcPr>
            <w:tcW w:w="1594" w:type="pct"/>
            <w:shd w:val="clear" w:color="auto" w:fill="01154D"/>
          </w:tcPr>
          <w:p w14:paraId="243C23B4" w14:textId="77777777" w:rsidR="00A93DDA" w:rsidRPr="00A93DDA" w:rsidRDefault="00A93DDA" w:rsidP="00A93DDA">
            <w:pPr>
              <w:autoSpaceDE w:val="0"/>
              <w:autoSpaceDN w:val="0"/>
              <w:adjustRightInd w:val="0"/>
              <w:spacing w:line="240" w:lineRule="auto"/>
              <w:jc w:val="center"/>
              <w:rPr>
                <w:rFonts w:asciiTheme="minorHAnsi" w:hAnsiTheme="minorHAnsi" w:cs="Calibri"/>
                <w:b/>
                <w:bCs/>
                <w:color w:val="FFFFFF"/>
                <w:sz w:val="16"/>
                <w:szCs w:val="16"/>
              </w:rPr>
            </w:pPr>
            <w:r w:rsidRPr="00A93DDA">
              <w:rPr>
                <w:rFonts w:asciiTheme="minorHAnsi" w:hAnsiTheme="minorHAnsi" w:cs="Calibri"/>
                <w:b/>
                <w:bCs/>
                <w:color w:val="FFFFFF"/>
                <w:sz w:val="16"/>
                <w:szCs w:val="16"/>
              </w:rPr>
              <w:t>Explanation</w:t>
            </w:r>
          </w:p>
        </w:tc>
        <w:tc>
          <w:tcPr>
            <w:tcW w:w="1159" w:type="pct"/>
            <w:shd w:val="clear" w:color="auto" w:fill="01154D"/>
          </w:tcPr>
          <w:p w14:paraId="3232690A" w14:textId="77777777" w:rsidR="00A93DDA" w:rsidRPr="00A93DDA" w:rsidRDefault="00A93DDA" w:rsidP="00A93DDA">
            <w:pPr>
              <w:autoSpaceDE w:val="0"/>
              <w:autoSpaceDN w:val="0"/>
              <w:adjustRightInd w:val="0"/>
              <w:spacing w:line="240" w:lineRule="auto"/>
              <w:rPr>
                <w:rFonts w:asciiTheme="minorHAnsi" w:hAnsiTheme="minorHAnsi" w:cs="Calibri"/>
                <w:b/>
                <w:bCs/>
                <w:color w:val="FFFFFF"/>
                <w:sz w:val="16"/>
                <w:szCs w:val="16"/>
              </w:rPr>
            </w:pPr>
            <w:r w:rsidRPr="00A93DDA">
              <w:rPr>
                <w:rFonts w:asciiTheme="minorHAnsi" w:hAnsiTheme="minorHAnsi" w:cs="Calibri"/>
                <w:b/>
                <w:bCs/>
                <w:color w:val="FFFFFF"/>
                <w:sz w:val="16"/>
                <w:szCs w:val="16"/>
              </w:rPr>
              <w:t>In Italy</w:t>
            </w:r>
          </w:p>
        </w:tc>
      </w:tr>
      <w:tr w:rsidR="00A93DDA" w:rsidRPr="00A93DDA" w14:paraId="2F36D32B" w14:textId="77777777" w:rsidTr="00C1320F">
        <w:tc>
          <w:tcPr>
            <w:tcW w:w="194" w:type="pct"/>
            <w:shd w:val="clear" w:color="auto" w:fill="FD8910"/>
            <w:vAlign w:val="center"/>
          </w:tcPr>
          <w:p w14:paraId="04BC66A3" w14:textId="77777777" w:rsidR="00A93DDA" w:rsidRPr="00A93DDA" w:rsidRDefault="00A93DDA" w:rsidP="00A93DDA">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1</w:t>
            </w:r>
          </w:p>
        </w:tc>
        <w:tc>
          <w:tcPr>
            <w:tcW w:w="361" w:type="pct"/>
            <w:shd w:val="clear" w:color="auto" w:fill="FDA437"/>
            <w:vAlign w:val="center"/>
          </w:tcPr>
          <w:p w14:paraId="4ABA3CED" w14:textId="77777777" w:rsidR="00A93DDA" w:rsidRPr="00A93DDA" w:rsidRDefault="00A93DDA" w:rsidP="00A93DDA">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3.1.2</w:t>
            </w:r>
          </w:p>
        </w:tc>
        <w:tc>
          <w:tcPr>
            <w:tcW w:w="635" w:type="pct"/>
          </w:tcPr>
          <w:p w14:paraId="65C03566"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The Rule of Law</w:t>
            </w:r>
          </w:p>
        </w:tc>
        <w:tc>
          <w:tcPr>
            <w:tcW w:w="1056" w:type="pct"/>
          </w:tcPr>
          <w:p w14:paraId="19CD7A13"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We propose to further strengthen the current rule of law monitoring and enforcement mechanisms to ratchet up the performance of all Member States on issues related to rule of law, government effectiveness and protection of property rights. </w:t>
            </w:r>
          </w:p>
        </w:tc>
        <w:tc>
          <w:tcPr>
            <w:tcW w:w="1594" w:type="pct"/>
          </w:tcPr>
          <w:p w14:paraId="7AD0F394"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Deficiencies in these factors negatively impact all agents in the entrepreneurial ecosystem and induce people to conduct activities and keep their capital in the shadow economy. Even the poorest EU member countries are higher medium-income countries, and neither the VoC literature nor arguments à la Rodrik (2008) provide any support for the view that these countries can compensate for these deficiencies through other institutional measures. </w:t>
            </w:r>
          </w:p>
        </w:tc>
        <w:tc>
          <w:tcPr>
            <w:tcW w:w="1159" w:type="pct"/>
          </w:tcPr>
          <w:p w14:paraId="3D1D7C50" w14:textId="77777777" w:rsidR="00A93DDA" w:rsidRPr="00A93DDA" w:rsidRDefault="00A93DDA" w:rsidP="00A93DDA">
            <w:pPr>
              <w:autoSpaceDE w:val="0"/>
              <w:autoSpaceDN w:val="0"/>
              <w:adjustRightInd w:val="0"/>
              <w:spacing w:line="240" w:lineRule="auto"/>
              <w:ind w:left="39" w:hanging="39"/>
              <w:rPr>
                <w:rFonts w:asciiTheme="minorHAnsi" w:hAnsiTheme="minorHAnsi" w:cs="Calibri"/>
                <w:color w:val="000000"/>
                <w:sz w:val="12"/>
                <w:szCs w:val="12"/>
              </w:rPr>
            </w:pPr>
            <w:r w:rsidRPr="00A93DDA">
              <w:rPr>
                <w:rFonts w:asciiTheme="minorHAnsi" w:hAnsiTheme="minorHAnsi" w:cs="Calibri"/>
                <w:color w:val="000000"/>
                <w:sz w:val="12"/>
                <w:szCs w:val="12"/>
              </w:rPr>
              <w:t>It takes too long to settle commercial disputes in civil cases. This creates uncertainty and works in the advantage of large, established and incumbent firms. An entrepreneurial society needs fast, predictable and clear legal proceedings to thrive. A lot has been done, but more is needed still. </w:t>
            </w:r>
          </w:p>
        </w:tc>
      </w:tr>
      <w:tr w:rsidR="00A93DDA" w:rsidRPr="00A93DDA" w14:paraId="091A3982" w14:textId="77777777" w:rsidTr="00C1320F">
        <w:tc>
          <w:tcPr>
            <w:tcW w:w="194" w:type="pct"/>
            <w:shd w:val="clear" w:color="auto" w:fill="FD8910"/>
            <w:vAlign w:val="center"/>
          </w:tcPr>
          <w:p w14:paraId="654FE4BF" w14:textId="77777777" w:rsidR="00A93DDA" w:rsidRPr="00A93DDA" w:rsidRDefault="00A93DDA" w:rsidP="00A93DDA">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8</w:t>
            </w:r>
          </w:p>
        </w:tc>
        <w:tc>
          <w:tcPr>
            <w:tcW w:w="361" w:type="pct"/>
            <w:shd w:val="clear" w:color="auto" w:fill="FDA437"/>
            <w:vAlign w:val="center"/>
          </w:tcPr>
          <w:p w14:paraId="45076235" w14:textId="77777777" w:rsidR="00A93DDA" w:rsidRPr="00A93DDA" w:rsidRDefault="00A93DDA" w:rsidP="00A93DDA">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3.2.4</w:t>
            </w:r>
          </w:p>
        </w:tc>
        <w:tc>
          <w:tcPr>
            <w:tcW w:w="635" w:type="pct"/>
          </w:tcPr>
          <w:p w14:paraId="474F5788"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Taxation of Corporate Income</w:t>
            </w:r>
          </w:p>
        </w:tc>
        <w:tc>
          <w:tcPr>
            <w:tcW w:w="1056" w:type="pct"/>
          </w:tcPr>
          <w:p w14:paraId="49DDD2CC"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The Union should strive to reduce and ideally remove the discrepancies in member countries between statutory and effective corporate income tax rates, which may result from tax-reducing depreciation rules, inventory valuation rules or other more ad hoc country- or industry-specific tax reductions. </w:t>
            </w:r>
          </w:p>
        </w:tc>
        <w:tc>
          <w:tcPr>
            <w:tcW w:w="1594" w:type="pct"/>
          </w:tcPr>
          <w:p w14:paraId="5DECC682"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Their removal would create transparency and contribute to levelling the playing field for all firms regardless of their size, age, industry or nationality. Competition among member states is good, but it should be competition on corporate tax rates and not on complex, opaque fiscal deals and schemes. Moreover, when it comes to corporate taxation, member states should treat all firms equally.</w:t>
            </w:r>
          </w:p>
        </w:tc>
        <w:tc>
          <w:tcPr>
            <w:tcW w:w="1159" w:type="pct"/>
          </w:tcPr>
          <w:p w14:paraId="5F88405E"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This general advice we would give to the Comission and would also apply to Italy. Founders in Italy complain about taxes but more than their level, their complexity and unpredictability makes growing a firm unattractive. </w:t>
            </w:r>
          </w:p>
        </w:tc>
      </w:tr>
      <w:tr w:rsidR="00A93DDA" w:rsidRPr="00A93DDA" w14:paraId="6E2BF964" w14:textId="77777777" w:rsidTr="00C1320F">
        <w:tc>
          <w:tcPr>
            <w:tcW w:w="194" w:type="pct"/>
            <w:shd w:val="clear" w:color="auto" w:fill="FD8910"/>
            <w:vAlign w:val="center"/>
          </w:tcPr>
          <w:p w14:paraId="4E1CDE28" w14:textId="77777777" w:rsidR="00A93DDA" w:rsidRPr="00A93DDA" w:rsidRDefault="00A93DDA" w:rsidP="00A93DDA">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10</w:t>
            </w:r>
          </w:p>
        </w:tc>
        <w:tc>
          <w:tcPr>
            <w:tcW w:w="361" w:type="pct"/>
            <w:shd w:val="clear" w:color="auto" w:fill="FDA437"/>
            <w:vAlign w:val="center"/>
          </w:tcPr>
          <w:p w14:paraId="44838BA2" w14:textId="77777777" w:rsidR="00A93DDA" w:rsidRPr="00A93DDA" w:rsidRDefault="00A93DDA" w:rsidP="00A93DDA">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3.2.5</w:t>
            </w:r>
          </w:p>
        </w:tc>
        <w:tc>
          <w:tcPr>
            <w:tcW w:w="635" w:type="pct"/>
          </w:tcPr>
          <w:p w14:paraId="05909D4C"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Taxation of Dividends and Capital Gains</w:t>
            </w:r>
          </w:p>
        </w:tc>
        <w:tc>
          <w:tcPr>
            <w:tcW w:w="1056" w:type="pct"/>
          </w:tcPr>
          <w:p w14:paraId="17EF1F1D"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Complexities should be removed when possible. Instead, countries should aim for dividend and capital gains tax rates with few exceptions and few (opaque) concessionary schemes. </w:t>
            </w:r>
          </w:p>
        </w:tc>
        <w:tc>
          <w:tcPr>
            <w:tcW w:w="1594" w:type="pct"/>
          </w:tcPr>
          <w:p w14:paraId="4B895F58"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Here, the Eastern European countries, such as Poland and Estonia, have exemplary models in which the tax rates are at reasonable levels and the effective tax rate is largely independent of other circumstances. Arguably, the reason for this clarity is that the design of these systems date back no further than 1989. A radical redesign from the ground up is probably not feasible in older member states, but they should nevertheless strive for similar improvements to simplicity and transparency.</w:t>
            </w:r>
          </w:p>
        </w:tc>
        <w:tc>
          <w:tcPr>
            <w:tcW w:w="1159" w:type="pct"/>
          </w:tcPr>
          <w:p w14:paraId="701B9B91"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See proposal 8. A tax system benefits from an occasional cleaning-up. Simplicity and transparancy should be the goal, not necessarily reducing rates for targetted groups. But at an overall tax pressure of 64% against 40.8% in Europe, Italy should also reduce taxes.</w:t>
            </w:r>
          </w:p>
        </w:tc>
      </w:tr>
      <w:tr w:rsidR="00A93DDA" w:rsidRPr="00A93DDA" w14:paraId="361BD3D8" w14:textId="77777777" w:rsidTr="00C1320F">
        <w:tc>
          <w:tcPr>
            <w:tcW w:w="194" w:type="pct"/>
            <w:shd w:val="clear" w:color="auto" w:fill="FD8910"/>
            <w:vAlign w:val="center"/>
          </w:tcPr>
          <w:p w14:paraId="280B6AF0" w14:textId="77777777" w:rsidR="00A93DDA" w:rsidRPr="00A93DDA" w:rsidRDefault="00A93DDA" w:rsidP="00A93DDA">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14</w:t>
            </w:r>
          </w:p>
        </w:tc>
        <w:tc>
          <w:tcPr>
            <w:tcW w:w="361" w:type="pct"/>
            <w:shd w:val="clear" w:color="auto" w:fill="FDA437"/>
            <w:vAlign w:val="center"/>
          </w:tcPr>
          <w:p w14:paraId="59124B88" w14:textId="77777777" w:rsidR="00A93DDA" w:rsidRPr="00A93DDA" w:rsidRDefault="00A93DDA" w:rsidP="00A93DDA">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3.3.2</w:t>
            </w:r>
          </w:p>
        </w:tc>
        <w:tc>
          <w:tcPr>
            <w:tcW w:w="635" w:type="pct"/>
          </w:tcPr>
          <w:p w14:paraId="2DE89226"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Private Wealth</w:t>
            </w:r>
          </w:p>
        </w:tc>
        <w:tc>
          <w:tcPr>
            <w:tcW w:w="1056" w:type="pct"/>
          </w:tcPr>
          <w:p w14:paraId="4E3B8B4E"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Our proposal is that in regions where family ties are strong, there should be institutional arrangements that would promote lending from private funds especially from the family to ventures.</w:t>
            </w:r>
          </w:p>
        </w:tc>
        <w:tc>
          <w:tcPr>
            <w:tcW w:w="1594" w:type="pct"/>
          </w:tcPr>
          <w:p w14:paraId="5D5BFE75"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In FIRES-Deliverable 2.2 (Dilli and Westerhuis 2018) it was shown that these cross-national differences in family financing are result of the differences in extent to which individuals feel socially obliged towards their family members, shaped by the strength of family ties. These family ties are result of the historical family arrangements. As a result, the share of family financing is expected to be much higher in regions where traditionally the family group has priority over the individual (strong family ties), common in the Eastern European and the Mediterranean countries context compared to the North Western European countries where the individual and individual values have priority over family (weak family ties).</w:t>
            </w:r>
          </w:p>
        </w:tc>
        <w:tc>
          <w:tcPr>
            <w:tcW w:w="1159" w:type="pct"/>
          </w:tcPr>
          <w:p w14:paraId="2D3DC784"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Italy has a strong family based tradition. This creates opportunities also for financing ventures, especially in their early stages. Italy could consider banking on extended family ties to increase the flow of financial resources into entrepreneurship. The Anglo-Saxon Angel and VC model may be less appropriate in the Italian context. </w:t>
            </w:r>
          </w:p>
        </w:tc>
      </w:tr>
      <w:tr w:rsidR="00A93DDA" w:rsidRPr="00A93DDA" w14:paraId="2D6C2F89" w14:textId="77777777" w:rsidTr="00C1320F">
        <w:tc>
          <w:tcPr>
            <w:tcW w:w="194" w:type="pct"/>
            <w:shd w:val="clear" w:color="auto" w:fill="FD8910"/>
            <w:vAlign w:val="center"/>
          </w:tcPr>
          <w:p w14:paraId="649AC47B" w14:textId="77777777" w:rsidR="00A93DDA" w:rsidRPr="00A93DDA" w:rsidRDefault="00A93DDA" w:rsidP="00A93DDA">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19</w:t>
            </w:r>
          </w:p>
        </w:tc>
        <w:tc>
          <w:tcPr>
            <w:tcW w:w="361" w:type="pct"/>
            <w:shd w:val="clear" w:color="auto" w:fill="FDA437"/>
            <w:vAlign w:val="center"/>
          </w:tcPr>
          <w:p w14:paraId="207099AC" w14:textId="505FF359" w:rsidR="00A93DDA" w:rsidRPr="00A93DDA" w:rsidRDefault="00A93DDA" w:rsidP="00A93DDA">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 </w:t>
            </w:r>
            <w:r w:rsidR="00C762BE">
              <w:rPr>
                <w:rFonts w:asciiTheme="minorHAnsi" w:hAnsiTheme="minorHAnsi" w:cs="Calibri"/>
                <w:color w:val="000000"/>
                <w:sz w:val="16"/>
                <w:szCs w:val="16"/>
              </w:rPr>
              <w:t>3.3.4</w:t>
            </w:r>
          </w:p>
        </w:tc>
        <w:tc>
          <w:tcPr>
            <w:tcW w:w="635" w:type="pct"/>
          </w:tcPr>
          <w:p w14:paraId="1AC4200C"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Banking</w:t>
            </w:r>
          </w:p>
        </w:tc>
        <w:tc>
          <w:tcPr>
            <w:tcW w:w="1056" w:type="pct"/>
          </w:tcPr>
          <w:p w14:paraId="710E278D"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Increase the mandatory equity ratio in banking gradually to 10-15% to have more skin in the game and allow banks to take on more risk responsibly in their lending portfolios. </w:t>
            </w:r>
          </w:p>
        </w:tc>
        <w:tc>
          <w:tcPr>
            <w:tcW w:w="1594" w:type="pct"/>
          </w:tcPr>
          <w:p w14:paraId="47103918"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Given that European banks operated profitably at much higher equity ratios in the past whereas non-European banks continue to do so, this proposal only requires a sound implementation and transition strategy. Gradually building up the equity buffer while at the same time accumulating more publicly guaranteed SME-loans in the portfolio is a balanced approach. Higher required equity buffers will increase the price of credit and some might argue that this will reduce credit and investment in the aggregate. We feel, however, that such price increases will only drive out the marginal investment projects and most of these are currently found in the secondary, speculative investments that Bezemer (2014) deems unproductive.</w:t>
            </w:r>
          </w:p>
        </w:tc>
        <w:tc>
          <w:tcPr>
            <w:tcW w:w="1159" w:type="pct"/>
          </w:tcPr>
          <w:p w14:paraId="546B24B6"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Italy still has a rather diverse and locally embedded banking system. This can be an asset in the entrepreneurial society, but these small, local banks are increasingly brought under European rules and supervision made for large, system banks. By requiring higher equity in banks, they can justifiably engage in riskier but also in the long run more productive lending. </w:t>
            </w:r>
          </w:p>
        </w:tc>
      </w:tr>
      <w:tr w:rsidR="00A93DDA" w:rsidRPr="00A93DDA" w14:paraId="62BC310A" w14:textId="77777777" w:rsidTr="00C1320F">
        <w:tc>
          <w:tcPr>
            <w:tcW w:w="194" w:type="pct"/>
            <w:shd w:val="clear" w:color="auto" w:fill="FD8910"/>
            <w:vAlign w:val="center"/>
          </w:tcPr>
          <w:p w14:paraId="2A68774F" w14:textId="77777777" w:rsidR="00A93DDA" w:rsidRPr="00A93DDA" w:rsidRDefault="00A93DDA" w:rsidP="00A93DDA">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28</w:t>
            </w:r>
          </w:p>
        </w:tc>
        <w:tc>
          <w:tcPr>
            <w:tcW w:w="361" w:type="pct"/>
            <w:shd w:val="clear" w:color="auto" w:fill="FDA437"/>
            <w:vAlign w:val="center"/>
          </w:tcPr>
          <w:p w14:paraId="04B5D1B1" w14:textId="77777777" w:rsidR="00A93DDA" w:rsidRPr="00A93DDA" w:rsidRDefault="00A93DDA" w:rsidP="00A93DDA">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3.4.2</w:t>
            </w:r>
          </w:p>
        </w:tc>
        <w:tc>
          <w:tcPr>
            <w:tcW w:w="635" w:type="pct"/>
          </w:tcPr>
          <w:p w14:paraId="4E3A2B6C"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Employment Protection Legislation</w:t>
            </w:r>
          </w:p>
        </w:tc>
        <w:tc>
          <w:tcPr>
            <w:tcW w:w="1056" w:type="pct"/>
          </w:tcPr>
          <w:p w14:paraId="28A0A9F3"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CMEs can provide a model for MMEs, which show more similarities to CMEs in many respects than LMEs.</w:t>
            </w:r>
          </w:p>
        </w:tc>
        <w:tc>
          <w:tcPr>
            <w:tcW w:w="1594" w:type="pct"/>
          </w:tcPr>
          <w:p w14:paraId="36A48F58"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Less regulation on permanent employment is likely to be linked with high-growth aspirations among entrepreneurs  particularly in the Mediterranean Market Eeconomies (MMEs)  whereas no change is observed in the other institutional constellations. Given that Coordinated Market Economies (CMEs) are shown to perform rather well in innovative entrepreneurial activity, while being characterized by moderately liberal labor market institutions, centralized wage setting institutions and high levels of social security. We therefore conclude that a policy of radical liberalisation following the Liberal Market Economies (LMEs) model is perhaps not the only way.</w:t>
            </w:r>
          </w:p>
        </w:tc>
        <w:tc>
          <w:tcPr>
            <w:tcW w:w="1159" w:type="pct"/>
          </w:tcPr>
          <w:p w14:paraId="621BE20E"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Italy has already implemented some fundamental reforms in the labour market in recent years. In part this was done under pressure of the financial and eurocrisis and external creditors. The general direction of these reforms was right, but Italy should not forget that of the MMEs it is actually closest to the CMEs and should seek to combine flexibility with social security. </w:t>
            </w:r>
          </w:p>
        </w:tc>
      </w:tr>
      <w:tr w:rsidR="00A93DDA" w:rsidRPr="00A93DDA" w14:paraId="3A5DF4C9" w14:textId="77777777" w:rsidTr="00C1320F">
        <w:tc>
          <w:tcPr>
            <w:tcW w:w="194" w:type="pct"/>
            <w:shd w:val="clear" w:color="auto" w:fill="FD8910"/>
            <w:vAlign w:val="center"/>
          </w:tcPr>
          <w:p w14:paraId="68B2336F" w14:textId="77777777" w:rsidR="00A93DDA" w:rsidRPr="00A93DDA" w:rsidRDefault="00A93DDA" w:rsidP="00A93DDA">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31</w:t>
            </w:r>
          </w:p>
        </w:tc>
        <w:tc>
          <w:tcPr>
            <w:tcW w:w="361" w:type="pct"/>
            <w:shd w:val="clear" w:color="auto" w:fill="FDA437"/>
            <w:vAlign w:val="center"/>
          </w:tcPr>
          <w:p w14:paraId="176C0B42" w14:textId="77777777" w:rsidR="00A93DDA" w:rsidRPr="00A93DDA" w:rsidRDefault="00A93DDA" w:rsidP="00A93DDA">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3.4.3</w:t>
            </w:r>
          </w:p>
        </w:tc>
        <w:tc>
          <w:tcPr>
            <w:tcW w:w="635" w:type="pct"/>
          </w:tcPr>
          <w:p w14:paraId="26F8A5F7"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Employment Protection Legislation</w:t>
            </w:r>
          </w:p>
        </w:tc>
        <w:tc>
          <w:tcPr>
            <w:tcW w:w="1056" w:type="pct"/>
          </w:tcPr>
          <w:p w14:paraId="2C03B70B"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Establish or strengthen training programs to prepare workers for new occupations</w:t>
            </w:r>
          </w:p>
        </w:tc>
        <w:tc>
          <w:tcPr>
            <w:tcW w:w="1594" w:type="pct"/>
          </w:tcPr>
          <w:p w14:paraId="2591F152"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Archanskaia et al. (2017) show that countries with a low rate of substitution between inputs in routine production, will not be able to gain a comparative advantage in high-value products that are intensive in non-routine tasks. As a result, they will end up specializing more and more in routine-intensive products and experience lower wage growth. Geurts and Van Biesebroeck (2016) further show that the pattern of firm-growth in Belgium indicates that young firms under-adjust to good news. As a result, many promising firms scale up too slowly and they might miss out on opportunities in a fast-paced global market.</w:t>
            </w:r>
          </w:p>
        </w:tc>
        <w:tc>
          <w:tcPr>
            <w:tcW w:w="1159" w:type="pct"/>
          </w:tcPr>
          <w:p w14:paraId="6AE3A5D6"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In a more flexible labour market, more flexible and mobile employees are key. Italy will not be isolated from technological and economic trends and flexibility is needed to engage  opportunities and exit declining jobs, industries and trades. We propose Italy invests in the flexibility of its workforce. </w:t>
            </w:r>
          </w:p>
        </w:tc>
      </w:tr>
    </w:tbl>
    <w:p w14:paraId="4184882E" w14:textId="77777777" w:rsidR="00C1320F" w:rsidRDefault="00C1320F">
      <w:r>
        <w:br w:type="page"/>
      </w:r>
    </w:p>
    <w:tbl>
      <w:tblPr>
        <w:tblW w:w="53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
        <w:gridCol w:w="706"/>
        <w:gridCol w:w="1241"/>
        <w:gridCol w:w="2063"/>
        <w:gridCol w:w="3115"/>
        <w:gridCol w:w="2265"/>
      </w:tblGrid>
      <w:tr w:rsidR="00C1320F" w:rsidRPr="00A93DDA" w14:paraId="6358406A" w14:textId="77777777" w:rsidTr="00C1320F">
        <w:tc>
          <w:tcPr>
            <w:tcW w:w="194" w:type="pct"/>
            <w:shd w:val="clear" w:color="auto" w:fill="002060"/>
          </w:tcPr>
          <w:p w14:paraId="1469194A" w14:textId="77777777" w:rsidR="00C1320F" w:rsidRPr="00A93DDA" w:rsidRDefault="00C1320F" w:rsidP="00C1320F">
            <w:pPr>
              <w:autoSpaceDE w:val="0"/>
              <w:autoSpaceDN w:val="0"/>
              <w:adjustRightInd w:val="0"/>
              <w:spacing w:line="240" w:lineRule="auto"/>
              <w:jc w:val="center"/>
              <w:rPr>
                <w:rFonts w:asciiTheme="minorHAnsi" w:hAnsiTheme="minorHAnsi" w:cs="Calibri"/>
                <w:b/>
                <w:bCs/>
                <w:color w:val="FFFFFF"/>
                <w:sz w:val="16"/>
                <w:szCs w:val="16"/>
              </w:rPr>
            </w:pPr>
            <w:r w:rsidRPr="00A93DDA">
              <w:rPr>
                <w:rFonts w:asciiTheme="minorHAnsi" w:hAnsiTheme="minorHAnsi" w:cs="Calibri"/>
                <w:b/>
                <w:bCs/>
                <w:color w:val="FFFFFF"/>
                <w:sz w:val="16"/>
                <w:szCs w:val="16"/>
              </w:rPr>
              <w:lastRenderedPageBreak/>
              <w:t>#</w:t>
            </w:r>
          </w:p>
        </w:tc>
        <w:tc>
          <w:tcPr>
            <w:tcW w:w="361" w:type="pct"/>
            <w:shd w:val="clear" w:color="auto" w:fill="002060"/>
          </w:tcPr>
          <w:p w14:paraId="1EFBF7CA" w14:textId="77777777" w:rsidR="00C1320F" w:rsidRPr="00A93DDA" w:rsidRDefault="00C1320F" w:rsidP="00C1320F">
            <w:pPr>
              <w:autoSpaceDE w:val="0"/>
              <w:autoSpaceDN w:val="0"/>
              <w:adjustRightInd w:val="0"/>
              <w:spacing w:line="240" w:lineRule="auto"/>
              <w:jc w:val="center"/>
              <w:rPr>
                <w:rFonts w:asciiTheme="minorHAnsi" w:hAnsiTheme="minorHAnsi" w:cs="Calibri"/>
                <w:b/>
                <w:bCs/>
                <w:color w:val="FFFFFF"/>
                <w:sz w:val="16"/>
                <w:szCs w:val="16"/>
              </w:rPr>
            </w:pPr>
            <w:r w:rsidRPr="00A93DDA">
              <w:rPr>
                <w:rFonts w:asciiTheme="minorHAnsi" w:hAnsiTheme="minorHAnsi" w:cs="Calibri"/>
                <w:b/>
                <w:bCs/>
                <w:color w:val="FFFFFF"/>
                <w:sz w:val="16"/>
                <w:szCs w:val="16"/>
              </w:rPr>
              <w:t>Section</w:t>
            </w:r>
          </w:p>
        </w:tc>
        <w:tc>
          <w:tcPr>
            <w:tcW w:w="635" w:type="pct"/>
            <w:shd w:val="clear" w:color="auto" w:fill="002060"/>
          </w:tcPr>
          <w:p w14:paraId="435DB3EF" w14:textId="77777777" w:rsidR="00C1320F" w:rsidRPr="00A93DDA" w:rsidRDefault="00C1320F" w:rsidP="00C1320F">
            <w:pPr>
              <w:autoSpaceDE w:val="0"/>
              <w:autoSpaceDN w:val="0"/>
              <w:adjustRightInd w:val="0"/>
              <w:spacing w:line="240" w:lineRule="auto"/>
              <w:jc w:val="center"/>
              <w:rPr>
                <w:rFonts w:asciiTheme="minorHAnsi" w:hAnsiTheme="minorHAnsi" w:cs="Calibri"/>
                <w:b/>
                <w:bCs/>
                <w:color w:val="FFFFFF"/>
                <w:sz w:val="16"/>
                <w:szCs w:val="16"/>
              </w:rPr>
            </w:pPr>
            <w:r w:rsidRPr="00A93DDA">
              <w:rPr>
                <w:rFonts w:asciiTheme="minorHAnsi" w:hAnsiTheme="minorHAnsi" w:cs="Calibri"/>
                <w:b/>
                <w:bCs/>
                <w:color w:val="FFFFFF"/>
                <w:sz w:val="16"/>
                <w:szCs w:val="16"/>
              </w:rPr>
              <w:t>Title</w:t>
            </w:r>
          </w:p>
        </w:tc>
        <w:tc>
          <w:tcPr>
            <w:tcW w:w="1056" w:type="pct"/>
            <w:shd w:val="clear" w:color="auto" w:fill="002060"/>
          </w:tcPr>
          <w:p w14:paraId="7CCCB076" w14:textId="77777777" w:rsidR="00C1320F" w:rsidRPr="00A93DDA" w:rsidRDefault="00C1320F" w:rsidP="00C1320F">
            <w:pPr>
              <w:autoSpaceDE w:val="0"/>
              <w:autoSpaceDN w:val="0"/>
              <w:adjustRightInd w:val="0"/>
              <w:spacing w:line="240" w:lineRule="auto"/>
              <w:jc w:val="center"/>
              <w:rPr>
                <w:rFonts w:asciiTheme="minorHAnsi" w:hAnsiTheme="minorHAnsi" w:cs="Calibri"/>
                <w:b/>
                <w:bCs/>
                <w:color w:val="FFFFFF"/>
                <w:sz w:val="16"/>
                <w:szCs w:val="16"/>
              </w:rPr>
            </w:pPr>
            <w:r w:rsidRPr="00A93DDA">
              <w:rPr>
                <w:rFonts w:asciiTheme="minorHAnsi" w:hAnsiTheme="minorHAnsi" w:cs="Calibri"/>
                <w:b/>
                <w:bCs/>
                <w:color w:val="FFFFFF"/>
                <w:sz w:val="16"/>
                <w:szCs w:val="16"/>
              </w:rPr>
              <w:t>Proposal</w:t>
            </w:r>
          </w:p>
        </w:tc>
        <w:tc>
          <w:tcPr>
            <w:tcW w:w="1594" w:type="pct"/>
            <w:shd w:val="clear" w:color="auto" w:fill="002060"/>
          </w:tcPr>
          <w:p w14:paraId="539A9A7F" w14:textId="77777777" w:rsidR="00C1320F" w:rsidRPr="00A93DDA" w:rsidRDefault="00C1320F" w:rsidP="00C1320F">
            <w:pPr>
              <w:autoSpaceDE w:val="0"/>
              <w:autoSpaceDN w:val="0"/>
              <w:adjustRightInd w:val="0"/>
              <w:spacing w:line="240" w:lineRule="auto"/>
              <w:jc w:val="center"/>
              <w:rPr>
                <w:rFonts w:asciiTheme="minorHAnsi" w:hAnsiTheme="minorHAnsi" w:cs="Calibri"/>
                <w:b/>
                <w:bCs/>
                <w:color w:val="FFFFFF"/>
                <w:sz w:val="16"/>
                <w:szCs w:val="16"/>
              </w:rPr>
            </w:pPr>
            <w:r w:rsidRPr="00A93DDA">
              <w:rPr>
                <w:rFonts w:asciiTheme="minorHAnsi" w:hAnsiTheme="minorHAnsi" w:cs="Calibri"/>
                <w:b/>
                <w:bCs/>
                <w:color w:val="FFFFFF"/>
                <w:sz w:val="16"/>
                <w:szCs w:val="16"/>
              </w:rPr>
              <w:t>Explanation</w:t>
            </w:r>
          </w:p>
        </w:tc>
        <w:tc>
          <w:tcPr>
            <w:tcW w:w="1159" w:type="pct"/>
            <w:shd w:val="clear" w:color="auto" w:fill="002060"/>
          </w:tcPr>
          <w:p w14:paraId="6D25EF3F" w14:textId="77777777" w:rsidR="00C1320F" w:rsidRPr="00A93DDA" w:rsidRDefault="00C1320F" w:rsidP="00C1320F">
            <w:pPr>
              <w:autoSpaceDE w:val="0"/>
              <w:autoSpaceDN w:val="0"/>
              <w:adjustRightInd w:val="0"/>
              <w:spacing w:line="240" w:lineRule="auto"/>
              <w:rPr>
                <w:rFonts w:asciiTheme="minorHAnsi" w:hAnsiTheme="minorHAnsi" w:cs="Calibri"/>
                <w:b/>
                <w:bCs/>
                <w:color w:val="FFFFFF"/>
                <w:sz w:val="16"/>
                <w:szCs w:val="16"/>
              </w:rPr>
            </w:pPr>
            <w:r w:rsidRPr="00A93DDA">
              <w:rPr>
                <w:rFonts w:asciiTheme="minorHAnsi" w:hAnsiTheme="minorHAnsi" w:cs="Calibri"/>
                <w:b/>
                <w:bCs/>
                <w:color w:val="FFFFFF"/>
                <w:sz w:val="16"/>
                <w:szCs w:val="16"/>
              </w:rPr>
              <w:t>In Italy</w:t>
            </w:r>
          </w:p>
        </w:tc>
      </w:tr>
      <w:tr w:rsidR="00A93DDA" w:rsidRPr="00A93DDA" w14:paraId="0FDA4386" w14:textId="77777777" w:rsidTr="00C1320F">
        <w:tc>
          <w:tcPr>
            <w:tcW w:w="194" w:type="pct"/>
            <w:shd w:val="clear" w:color="auto" w:fill="FD8910"/>
            <w:vAlign w:val="center"/>
          </w:tcPr>
          <w:p w14:paraId="4BAC1E84" w14:textId="77777777" w:rsidR="00A93DDA" w:rsidRPr="00A93DDA" w:rsidRDefault="00A93DDA" w:rsidP="00A93DDA">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32</w:t>
            </w:r>
          </w:p>
        </w:tc>
        <w:tc>
          <w:tcPr>
            <w:tcW w:w="361" w:type="pct"/>
            <w:shd w:val="clear" w:color="auto" w:fill="FDA437"/>
            <w:vAlign w:val="center"/>
          </w:tcPr>
          <w:p w14:paraId="251B7909" w14:textId="77777777" w:rsidR="00A93DDA" w:rsidRPr="00A93DDA" w:rsidRDefault="00A93DDA" w:rsidP="00A93DDA">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3.4.4</w:t>
            </w:r>
          </w:p>
        </w:tc>
        <w:tc>
          <w:tcPr>
            <w:tcW w:w="635" w:type="pct"/>
          </w:tcPr>
          <w:p w14:paraId="29FF01E6"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Confidentiality Agreements and Barriers to Mobility</w:t>
            </w:r>
          </w:p>
        </w:tc>
        <w:tc>
          <w:tcPr>
            <w:tcW w:w="1056" w:type="pct"/>
          </w:tcPr>
          <w:p w14:paraId="36F88DCD"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To promote the mobility of people and their knowledge across firms, we propose to lift the legal enforceability of confidentiality agreements between employers and their employees. </w:t>
            </w:r>
          </w:p>
        </w:tc>
        <w:tc>
          <w:tcPr>
            <w:tcW w:w="1594" w:type="pct"/>
          </w:tcPr>
          <w:p w14:paraId="7864C29E"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Of course, there can be justified instances in which confidentiality is needed to protect the legitimate interests and privacy of customers, but confidentiality agreements and especially non-compete clauses are more often used to prevent knowledge from flowing freely between firms and sectors.</w:t>
            </w:r>
          </w:p>
        </w:tc>
        <w:tc>
          <w:tcPr>
            <w:tcW w:w="1159" w:type="pct"/>
          </w:tcPr>
          <w:p w14:paraId="4C8B1CBC"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Specifically for Italy, this proposal should be understood in light of the two above, arguing for investment in mobility and reducing barriers for switching jobs, industries and occupations. This will create opportunities for the young and talented to remain actively engaged in Italy and reduce the brain drain to the rest of Europe. Specifically the "reinstatement" provision in employment protection is often mentioned as a burden on small and young firms.</w:t>
            </w:r>
          </w:p>
        </w:tc>
      </w:tr>
      <w:tr w:rsidR="00A93DDA" w:rsidRPr="00A93DDA" w14:paraId="2F098D2E" w14:textId="77777777" w:rsidTr="00C1320F">
        <w:tc>
          <w:tcPr>
            <w:tcW w:w="194" w:type="pct"/>
            <w:shd w:val="clear" w:color="auto" w:fill="FD8910"/>
            <w:vAlign w:val="center"/>
          </w:tcPr>
          <w:p w14:paraId="435D1C62" w14:textId="77777777" w:rsidR="00A93DDA" w:rsidRPr="00A93DDA" w:rsidRDefault="00A93DDA" w:rsidP="00A93DDA">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35</w:t>
            </w:r>
          </w:p>
        </w:tc>
        <w:tc>
          <w:tcPr>
            <w:tcW w:w="361" w:type="pct"/>
            <w:shd w:val="clear" w:color="auto" w:fill="FDA437"/>
            <w:vAlign w:val="center"/>
          </w:tcPr>
          <w:p w14:paraId="6616B7FC" w14:textId="77777777" w:rsidR="00A93DDA" w:rsidRPr="00A93DDA" w:rsidRDefault="00A93DDA" w:rsidP="00A93DDA">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3.4.5</w:t>
            </w:r>
          </w:p>
        </w:tc>
        <w:tc>
          <w:tcPr>
            <w:tcW w:w="635" w:type="pct"/>
          </w:tcPr>
          <w:p w14:paraId="109D3D54"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Social Insurance Systems</w:t>
            </w:r>
          </w:p>
        </w:tc>
        <w:tc>
          <w:tcPr>
            <w:tcW w:w="1056" w:type="pct"/>
          </w:tcPr>
          <w:p w14:paraId="7B467FE0"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Embracing the principles of flexicurity, we propose to carefully consider the impacts of reforms on young SMEs and not force them to take on high risks and burdens. </w:t>
            </w:r>
          </w:p>
        </w:tc>
        <w:tc>
          <w:tcPr>
            <w:tcW w:w="1594" w:type="pct"/>
          </w:tcPr>
          <w:p w14:paraId="5AA4B5B3"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The general guiding principles the European Commission have formulated do not include structural and careful attention to what such reforms would mean for start-ups and young SMEs. While the specifics can and will vary country by country, we can infer that an important component of a policy that makes society more innovative and entrepreneurial involves making the individual’s social insurances as portable as possible when changing jobs and moving between salaried employment and self-employment. </w:t>
            </w:r>
          </w:p>
        </w:tc>
        <w:tc>
          <w:tcPr>
            <w:tcW w:w="1159" w:type="pct"/>
          </w:tcPr>
          <w:p w14:paraId="7BDB81A5"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It is tempting for governments with tight budgets to have employers pick up the bill for their employees' social security. This, however, tends to reduce mobility and strengthens the insider-outsider effect. On the labour demand side, such schemes work in (relative) favour of large firms and blocks young firms expanding. This keeps youth unemployment up and pushes also educated Italian youngsters to leave.  </w:t>
            </w:r>
          </w:p>
        </w:tc>
      </w:tr>
      <w:tr w:rsidR="00A93DDA" w:rsidRPr="00A93DDA" w14:paraId="21E2A7FB" w14:textId="77777777" w:rsidTr="00C1320F">
        <w:tc>
          <w:tcPr>
            <w:tcW w:w="194" w:type="pct"/>
            <w:shd w:val="clear" w:color="auto" w:fill="FD8910"/>
            <w:vAlign w:val="center"/>
          </w:tcPr>
          <w:p w14:paraId="1C79E977" w14:textId="77777777" w:rsidR="00A93DDA" w:rsidRPr="00A93DDA" w:rsidRDefault="00A93DDA" w:rsidP="00A93DDA">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40</w:t>
            </w:r>
          </w:p>
        </w:tc>
        <w:tc>
          <w:tcPr>
            <w:tcW w:w="361" w:type="pct"/>
            <w:shd w:val="clear" w:color="auto" w:fill="FDA437"/>
            <w:vAlign w:val="center"/>
          </w:tcPr>
          <w:p w14:paraId="0BFE4636" w14:textId="77777777" w:rsidR="00A93DDA" w:rsidRPr="00A93DDA" w:rsidRDefault="00A93DDA" w:rsidP="00A93DDA">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3.5.2</w:t>
            </w:r>
          </w:p>
        </w:tc>
        <w:tc>
          <w:tcPr>
            <w:tcW w:w="635" w:type="pct"/>
          </w:tcPr>
          <w:p w14:paraId="34D84023"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Product Market Regulation</w:t>
            </w:r>
          </w:p>
        </w:tc>
        <w:tc>
          <w:tcPr>
            <w:tcW w:w="1056" w:type="pct"/>
          </w:tcPr>
          <w:p w14:paraId="6721533B"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Excessive barriers to new business formation and new entry should be lifted where possible.</w:t>
            </w:r>
          </w:p>
        </w:tc>
        <w:tc>
          <w:tcPr>
            <w:tcW w:w="1594" w:type="pct"/>
          </w:tcPr>
          <w:p w14:paraId="0482FA72"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This, however, seems to be part and parcel of the EU policy agenda already. Our consortium supports that effort with the caveat that well justified barriers to entry are useful to keep unproductive or even destructive ventures out (Stenholm et al. 2013; Darnihamedani et al. 2018). It should be easy for challengers to enter (and exit) but these challengers should be serious.</w:t>
            </w:r>
          </w:p>
        </w:tc>
        <w:tc>
          <w:tcPr>
            <w:tcW w:w="1159" w:type="pct"/>
          </w:tcPr>
          <w:p w14:paraId="2FCE8C21"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Key in this proposal is "excessive". Founders in Italy report quite a wide variety of bureacratic and administrative barriers to starting up a venture in Italy. Some of these barriers may serve a valid purpose, but simplicity, transparancy and predictability are then required also. Data shows Italian SMEs spend 52% more time dealing with bureaucracy than their European competitors and WEF ranks Italy 44th on doing business index. There is a lot of room for improvement. </w:t>
            </w:r>
          </w:p>
        </w:tc>
      </w:tr>
      <w:tr w:rsidR="00A93DDA" w:rsidRPr="00A93DDA" w14:paraId="0E0A580D" w14:textId="77777777" w:rsidTr="00C1320F">
        <w:tc>
          <w:tcPr>
            <w:tcW w:w="194" w:type="pct"/>
            <w:shd w:val="clear" w:color="auto" w:fill="FD8910"/>
            <w:vAlign w:val="center"/>
          </w:tcPr>
          <w:p w14:paraId="0F53016F" w14:textId="77777777" w:rsidR="00A93DDA" w:rsidRPr="00A93DDA" w:rsidRDefault="00A93DDA" w:rsidP="00A93DDA">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45</w:t>
            </w:r>
          </w:p>
        </w:tc>
        <w:tc>
          <w:tcPr>
            <w:tcW w:w="361" w:type="pct"/>
            <w:shd w:val="clear" w:color="auto" w:fill="FDA437"/>
            <w:vAlign w:val="center"/>
          </w:tcPr>
          <w:p w14:paraId="7E6AAA1B" w14:textId="77777777" w:rsidR="00A93DDA" w:rsidRPr="00A93DDA" w:rsidRDefault="00A93DDA" w:rsidP="00A93DDA">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3.6.3</w:t>
            </w:r>
          </w:p>
        </w:tc>
        <w:tc>
          <w:tcPr>
            <w:tcW w:w="635" w:type="pct"/>
          </w:tcPr>
          <w:p w14:paraId="5D0CC325"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Knowledge Diffusion after Failure</w:t>
            </w:r>
          </w:p>
        </w:tc>
        <w:tc>
          <w:tcPr>
            <w:tcW w:w="1056" w:type="pct"/>
          </w:tcPr>
          <w:p w14:paraId="4DA74DAA"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We propose to set up publicly funded “entrepreneurial knowledge observatories” where knowledge accumulated in the entrepreneurial process is collected, curated and freely diffused. </w:t>
            </w:r>
          </w:p>
        </w:tc>
        <w:tc>
          <w:tcPr>
            <w:tcW w:w="1594" w:type="pct"/>
          </w:tcPr>
          <w:p w14:paraId="265B49D4"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Our consortium agreed that a lot of useful knowledge, perhaps of a more applied and tacit nature, is generated in the entrepreneurial process, particularly when ventures fail. That knowledge is lost when entrepreneurs do not share their experiences. However, as that is not their core business and private incentives are absent, it makes sense to publicly fund the collection, curation and diffusion of that knowledge.</w:t>
            </w:r>
          </w:p>
        </w:tc>
        <w:tc>
          <w:tcPr>
            <w:tcW w:w="1159" w:type="pct"/>
          </w:tcPr>
          <w:p w14:paraId="172C000B"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Creating a real hub, rich in events, infrastructure, and networking between teams could be useful for the Italian Startup Ecosystem. This involves concentration. Today Milan (14,7%), Rome (8,5%) and Turin (4,7%) have less than 30% of the total number of startups (and these data are flattered). Our research has shown how geographical proximity is important for success. It is a tough choice, but it would be useful to invest in a start-up capital (Milan) with a national function.</w:t>
            </w:r>
          </w:p>
        </w:tc>
      </w:tr>
      <w:tr w:rsidR="00A93DDA" w:rsidRPr="00A93DDA" w14:paraId="410855FF" w14:textId="77777777" w:rsidTr="00C1320F">
        <w:tc>
          <w:tcPr>
            <w:tcW w:w="194" w:type="pct"/>
            <w:shd w:val="clear" w:color="auto" w:fill="FD8910"/>
            <w:vAlign w:val="center"/>
          </w:tcPr>
          <w:p w14:paraId="3DE0AB16" w14:textId="77777777" w:rsidR="00A93DDA" w:rsidRPr="00A93DDA" w:rsidRDefault="00A93DDA" w:rsidP="00A93DDA">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48</w:t>
            </w:r>
          </w:p>
        </w:tc>
        <w:tc>
          <w:tcPr>
            <w:tcW w:w="361" w:type="pct"/>
            <w:shd w:val="clear" w:color="auto" w:fill="FDA437"/>
            <w:vAlign w:val="center"/>
          </w:tcPr>
          <w:p w14:paraId="6F1045F4" w14:textId="77777777" w:rsidR="00A93DDA" w:rsidRPr="00A93DDA" w:rsidRDefault="00A93DDA" w:rsidP="00A93DDA">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3.7.2</w:t>
            </w:r>
          </w:p>
        </w:tc>
        <w:tc>
          <w:tcPr>
            <w:tcW w:w="635" w:type="pct"/>
          </w:tcPr>
          <w:p w14:paraId="5E588F1C"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Knowledge Generation</w:t>
            </w:r>
          </w:p>
        </w:tc>
        <w:tc>
          <w:tcPr>
            <w:tcW w:w="1056" w:type="pct"/>
          </w:tcPr>
          <w:p w14:paraId="06770D8D"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Both the EU and its member states should create healthy, well-funded, academic institutions that allow Europe’s best and brightest to pursue their research interests. </w:t>
            </w:r>
          </w:p>
        </w:tc>
        <w:tc>
          <w:tcPr>
            <w:tcW w:w="1594" w:type="pct"/>
          </w:tcPr>
          <w:p w14:paraId="204F8EAD"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In the literature, there is also broad consensus that basic research is a pure public good (Salter and Martin 1991; Pavitt 1991). It therefore makes perfect sense to channel more of the EU budgets to an activity that provides such evident positive spillovers throughout the Union.</w:t>
            </w:r>
          </w:p>
        </w:tc>
        <w:tc>
          <w:tcPr>
            <w:tcW w:w="1159" w:type="pct"/>
          </w:tcPr>
          <w:p w14:paraId="27213C05"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For the Italian context it is important to open up its academic institutions. Many reforms have already been undertaken, but most in a time of ageing, financial constraints and budget cuts. With vested interests and gilded contracts hard to reform, the rate at which Italian academic institutions open up for competition and meritocracy is slow. It makes little sense to spend a lot of money on institutions before such structural issues have been addressed. Unfortunately the (poor) students, not the ageing staff is driven out.</w:t>
            </w:r>
          </w:p>
        </w:tc>
      </w:tr>
      <w:tr w:rsidR="00A93DDA" w:rsidRPr="00A93DDA" w14:paraId="3B360F21" w14:textId="77777777" w:rsidTr="00C1320F">
        <w:tc>
          <w:tcPr>
            <w:tcW w:w="194" w:type="pct"/>
            <w:shd w:val="clear" w:color="auto" w:fill="FD8910"/>
            <w:vAlign w:val="center"/>
          </w:tcPr>
          <w:p w14:paraId="77D7EABB" w14:textId="77777777" w:rsidR="00A93DDA" w:rsidRPr="00A93DDA" w:rsidRDefault="00A93DDA" w:rsidP="00A93DDA">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55</w:t>
            </w:r>
          </w:p>
        </w:tc>
        <w:tc>
          <w:tcPr>
            <w:tcW w:w="361" w:type="pct"/>
            <w:shd w:val="clear" w:color="auto" w:fill="FDA437"/>
            <w:vAlign w:val="center"/>
          </w:tcPr>
          <w:p w14:paraId="3154F2A2" w14:textId="77777777" w:rsidR="00A93DDA" w:rsidRPr="00A93DDA" w:rsidRDefault="00A93DDA" w:rsidP="00A93DDA">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3.8.2</w:t>
            </w:r>
          </w:p>
        </w:tc>
        <w:tc>
          <w:tcPr>
            <w:tcW w:w="635" w:type="pct"/>
          </w:tcPr>
          <w:p w14:paraId="22ECFD81"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Creativity in primary and secondary education</w:t>
            </w:r>
          </w:p>
        </w:tc>
        <w:tc>
          <w:tcPr>
            <w:tcW w:w="1056" w:type="pct"/>
          </w:tcPr>
          <w:p w14:paraId="78C610BB"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Push for reforms in primary and secondary education that promote creativity, a willingness to experiment, a tolerance of failure and out-of-the-box thinking. </w:t>
            </w:r>
          </w:p>
        </w:tc>
        <w:tc>
          <w:tcPr>
            <w:tcW w:w="1594" w:type="pct"/>
          </w:tcPr>
          <w:p w14:paraId="617CD217"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More appreciation for creativity (and therefore tolerance of deviant behaviour) will probably shift the balance from business oriented to more creative entrepreneurship. Evidence from field experiments (Weitzel et al. 2010; Urbig et al. 2012) and in the FIRES-project (Lauritzen et al. 2017) suggest that creative entrepreneurs are more socially oriented than strictly business-oriented entrepreneurs. Promoting creativity in primary and secondary education, to the extent possible, is therefore a long-term strategy to promote productive entrepreneurship that will create innovative, sustainable and inclusive growth (Stam et al. 2012).</w:t>
            </w:r>
          </w:p>
        </w:tc>
        <w:tc>
          <w:tcPr>
            <w:tcW w:w="1159" w:type="pct"/>
          </w:tcPr>
          <w:p w14:paraId="0C949573"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Italy's educational system can be characterised as traditional. The State sets the curriculum, provides uniform tests and most children attend public schools. The curriculum is demanding, geared towards cognitive skills and textbook based, leaving little room for creativity and diversity. Italy considers its educational system of high quality, but making pupils work hard is not the same as teaching them useful skills. Countries ranking high on e.g. the WEF, OECD and EU rankings, such as Finland and Norway have less homework and formal testing and more autonomy for highly trained and well paid professionals.  </w:t>
            </w:r>
          </w:p>
        </w:tc>
      </w:tr>
    </w:tbl>
    <w:p w14:paraId="23EF413A" w14:textId="77777777" w:rsidR="00C1320F" w:rsidRDefault="00C1320F">
      <w:r>
        <w:br w:type="page"/>
      </w:r>
    </w:p>
    <w:tbl>
      <w:tblPr>
        <w:tblW w:w="53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
        <w:gridCol w:w="706"/>
        <w:gridCol w:w="1241"/>
        <w:gridCol w:w="2063"/>
        <w:gridCol w:w="3115"/>
        <w:gridCol w:w="2265"/>
      </w:tblGrid>
      <w:tr w:rsidR="00C1320F" w:rsidRPr="00A93DDA" w14:paraId="60E95E56" w14:textId="77777777" w:rsidTr="00C1320F">
        <w:tc>
          <w:tcPr>
            <w:tcW w:w="194" w:type="pct"/>
            <w:shd w:val="clear" w:color="auto" w:fill="002060"/>
          </w:tcPr>
          <w:p w14:paraId="2CA6188D" w14:textId="77777777" w:rsidR="00C1320F" w:rsidRPr="00A93DDA" w:rsidRDefault="00C1320F" w:rsidP="00C1320F">
            <w:pPr>
              <w:autoSpaceDE w:val="0"/>
              <w:autoSpaceDN w:val="0"/>
              <w:adjustRightInd w:val="0"/>
              <w:spacing w:line="240" w:lineRule="auto"/>
              <w:jc w:val="center"/>
              <w:rPr>
                <w:rFonts w:asciiTheme="minorHAnsi" w:hAnsiTheme="minorHAnsi" w:cs="Calibri"/>
                <w:b/>
                <w:bCs/>
                <w:color w:val="FFFFFF"/>
                <w:sz w:val="16"/>
                <w:szCs w:val="16"/>
              </w:rPr>
            </w:pPr>
            <w:r w:rsidRPr="00A93DDA">
              <w:rPr>
                <w:rFonts w:asciiTheme="minorHAnsi" w:hAnsiTheme="minorHAnsi" w:cs="Calibri"/>
                <w:b/>
                <w:bCs/>
                <w:color w:val="FFFFFF"/>
                <w:sz w:val="16"/>
                <w:szCs w:val="16"/>
              </w:rPr>
              <w:lastRenderedPageBreak/>
              <w:t>#</w:t>
            </w:r>
          </w:p>
        </w:tc>
        <w:tc>
          <w:tcPr>
            <w:tcW w:w="361" w:type="pct"/>
            <w:shd w:val="clear" w:color="auto" w:fill="002060"/>
          </w:tcPr>
          <w:p w14:paraId="7B08A1D3" w14:textId="77777777" w:rsidR="00C1320F" w:rsidRPr="00A93DDA" w:rsidRDefault="00C1320F" w:rsidP="00C1320F">
            <w:pPr>
              <w:autoSpaceDE w:val="0"/>
              <w:autoSpaceDN w:val="0"/>
              <w:adjustRightInd w:val="0"/>
              <w:spacing w:line="240" w:lineRule="auto"/>
              <w:jc w:val="center"/>
              <w:rPr>
                <w:rFonts w:asciiTheme="minorHAnsi" w:hAnsiTheme="minorHAnsi" w:cs="Calibri"/>
                <w:b/>
                <w:bCs/>
                <w:color w:val="FFFFFF"/>
                <w:sz w:val="16"/>
                <w:szCs w:val="16"/>
              </w:rPr>
            </w:pPr>
            <w:r w:rsidRPr="00A93DDA">
              <w:rPr>
                <w:rFonts w:asciiTheme="minorHAnsi" w:hAnsiTheme="minorHAnsi" w:cs="Calibri"/>
                <w:b/>
                <w:bCs/>
                <w:color w:val="FFFFFF"/>
                <w:sz w:val="16"/>
                <w:szCs w:val="16"/>
              </w:rPr>
              <w:t>Section</w:t>
            </w:r>
          </w:p>
        </w:tc>
        <w:tc>
          <w:tcPr>
            <w:tcW w:w="635" w:type="pct"/>
            <w:shd w:val="clear" w:color="auto" w:fill="002060"/>
          </w:tcPr>
          <w:p w14:paraId="15351C3B" w14:textId="77777777" w:rsidR="00C1320F" w:rsidRPr="00A93DDA" w:rsidRDefault="00C1320F" w:rsidP="00C1320F">
            <w:pPr>
              <w:autoSpaceDE w:val="0"/>
              <w:autoSpaceDN w:val="0"/>
              <w:adjustRightInd w:val="0"/>
              <w:spacing w:line="240" w:lineRule="auto"/>
              <w:jc w:val="center"/>
              <w:rPr>
                <w:rFonts w:asciiTheme="minorHAnsi" w:hAnsiTheme="minorHAnsi" w:cs="Calibri"/>
                <w:b/>
                <w:bCs/>
                <w:color w:val="FFFFFF"/>
                <w:sz w:val="16"/>
                <w:szCs w:val="16"/>
              </w:rPr>
            </w:pPr>
            <w:r w:rsidRPr="00A93DDA">
              <w:rPr>
                <w:rFonts w:asciiTheme="minorHAnsi" w:hAnsiTheme="minorHAnsi" w:cs="Calibri"/>
                <w:b/>
                <w:bCs/>
                <w:color w:val="FFFFFF"/>
                <w:sz w:val="16"/>
                <w:szCs w:val="16"/>
              </w:rPr>
              <w:t>Title</w:t>
            </w:r>
          </w:p>
        </w:tc>
        <w:tc>
          <w:tcPr>
            <w:tcW w:w="1056" w:type="pct"/>
            <w:shd w:val="clear" w:color="auto" w:fill="002060"/>
          </w:tcPr>
          <w:p w14:paraId="3188D196" w14:textId="77777777" w:rsidR="00C1320F" w:rsidRPr="00A93DDA" w:rsidRDefault="00C1320F" w:rsidP="00C1320F">
            <w:pPr>
              <w:autoSpaceDE w:val="0"/>
              <w:autoSpaceDN w:val="0"/>
              <w:adjustRightInd w:val="0"/>
              <w:spacing w:line="240" w:lineRule="auto"/>
              <w:jc w:val="center"/>
              <w:rPr>
                <w:rFonts w:asciiTheme="minorHAnsi" w:hAnsiTheme="minorHAnsi" w:cs="Calibri"/>
                <w:b/>
                <w:bCs/>
                <w:color w:val="FFFFFF"/>
                <w:sz w:val="16"/>
                <w:szCs w:val="16"/>
              </w:rPr>
            </w:pPr>
            <w:r w:rsidRPr="00A93DDA">
              <w:rPr>
                <w:rFonts w:asciiTheme="minorHAnsi" w:hAnsiTheme="minorHAnsi" w:cs="Calibri"/>
                <w:b/>
                <w:bCs/>
                <w:color w:val="FFFFFF"/>
                <w:sz w:val="16"/>
                <w:szCs w:val="16"/>
              </w:rPr>
              <w:t>Proposal</w:t>
            </w:r>
          </w:p>
        </w:tc>
        <w:tc>
          <w:tcPr>
            <w:tcW w:w="1594" w:type="pct"/>
            <w:shd w:val="clear" w:color="auto" w:fill="002060"/>
          </w:tcPr>
          <w:p w14:paraId="68DD2C46" w14:textId="77777777" w:rsidR="00C1320F" w:rsidRPr="00A93DDA" w:rsidRDefault="00C1320F" w:rsidP="00C1320F">
            <w:pPr>
              <w:autoSpaceDE w:val="0"/>
              <w:autoSpaceDN w:val="0"/>
              <w:adjustRightInd w:val="0"/>
              <w:spacing w:line="240" w:lineRule="auto"/>
              <w:jc w:val="center"/>
              <w:rPr>
                <w:rFonts w:asciiTheme="minorHAnsi" w:hAnsiTheme="minorHAnsi" w:cs="Calibri"/>
                <w:b/>
                <w:bCs/>
                <w:color w:val="FFFFFF"/>
                <w:sz w:val="16"/>
                <w:szCs w:val="16"/>
              </w:rPr>
            </w:pPr>
            <w:r w:rsidRPr="00A93DDA">
              <w:rPr>
                <w:rFonts w:asciiTheme="minorHAnsi" w:hAnsiTheme="minorHAnsi" w:cs="Calibri"/>
                <w:b/>
                <w:bCs/>
                <w:color w:val="FFFFFF"/>
                <w:sz w:val="16"/>
                <w:szCs w:val="16"/>
              </w:rPr>
              <w:t>Explanation</w:t>
            </w:r>
          </w:p>
        </w:tc>
        <w:tc>
          <w:tcPr>
            <w:tcW w:w="1159" w:type="pct"/>
            <w:shd w:val="clear" w:color="auto" w:fill="002060"/>
          </w:tcPr>
          <w:p w14:paraId="07F86FE5" w14:textId="77777777" w:rsidR="00C1320F" w:rsidRPr="00A93DDA" w:rsidRDefault="00C1320F" w:rsidP="00C1320F">
            <w:pPr>
              <w:autoSpaceDE w:val="0"/>
              <w:autoSpaceDN w:val="0"/>
              <w:adjustRightInd w:val="0"/>
              <w:spacing w:line="240" w:lineRule="auto"/>
              <w:rPr>
                <w:rFonts w:asciiTheme="minorHAnsi" w:hAnsiTheme="minorHAnsi" w:cs="Calibri"/>
                <w:b/>
                <w:bCs/>
                <w:color w:val="FFFFFF"/>
                <w:sz w:val="16"/>
                <w:szCs w:val="16"/>
              </w:rPr>
            </w:pPr>
            <w:r w:rsidRPr="00A93DDA">
              <w:rPr>
                <w:rFonts w:asciiTheme="minorHAnsi" w:hAnsiTheme="minorHAnsi" w:cs="Calibri"/>
                <w:b/>
                <w:bCs/>
                <w:color w:val="FFFFFF"/>
                <w:sz w:val="16"/>
                <w:szCs w:val="16"/>
              </w:rPr>
              <w:t>In Italy</w:t>
            </w:r>
          </w:p>
        </w:tc>
      </w:tr>
      <w:tr w:rsidR="00A93DDA" w:rsidRPr="00A93DDA" w14:paraId="09E3C443" w14:textId="77777777" w:rsidTr="00C1320F">
        <w:tc>
          <w:tcPr>
            <w:tcW w:w="194" w:type="pct"/>
            <w:shd w:val="clear" w:color="auto" w:fill="FD8910"/>
            <w:vAlign w:val="center"/>
          </w:tcPr>
          <w:p w14:paraId="73D4E148" w14:textId="77777777" w:rsidR="00A93DDA" w:rsidRPr="00A93DDA" w:rsidRDefault="00A93DDA" w:rsidP="00A93DDA">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57</w:t>
            </w:r>
          </w:p>
        </w:tc>
        <w:tc>
          <w:tcPr>
            <w:tcW w:w="361" w:type="pct"/>
            <w:shd w:val="clear" w:color="auto" w:fill="FDA437"/>
            <w:vAlign w:val="center"/>
          </w:tcPr>
          <w:p w14:paraId="48D37168" w14:textId="77777777" w:rsidR="00A93DDA" w:rsidRPr="00A93DDA" w:rsidRDefault="00A93DDA" w:rsidP="00A93DDA">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3.8.2</w:t>
            </w:r>
          </w:p>
        </w:tc>
        <w:tc>
          <w:tcPr>
            <w:tcW w:w="635" w:type="pct"/>
          </w:tcPr>
          <w:p w14:paraId="72B26C22"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Education in the Entrepreneurial Society</w:t>
            </w:r>
          </w:p>
        </w:tc>
        <w:tc>
          <w:tcPr>
            <w:tcW w:w="1056" w:type="pct"/>
          </w:tcPr>
          <w:p w14:paraId="41EB4DE3"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To promote the integration of Europe’s knowledge base we propose to make English the (mandatory) second language and promote its instruction in primary and secondary education systems throughout the European Union. </w:t>
            </w:r>
          </w:p>
        </w:tc>
        <w:tc>
          <w:tcPr>
            <w:tcW w:w="1594" w:type="pct"/>
          </w:tcPr>
          <w:p w14:paraId="7B17C8EA"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We would like to stress, however, that we do not see this as part of building a European identity or culture. Rather, as a tool to enable citizens in the Union, and in particular those that end up in business and/or science, to exchange knowledge efficiently and effectively. Effective communication requires a common language and English qualifies as the Lingua Franca of modern science in most academic disciplines as well as global business. </w:t>
            </w:r>
          </w:p>
        </w:tc>
        <w:tc>
          <w:tcPr>
            <w:tcW w:w="1159" w:type="pct"/>
          </w:tcPr>
          <w:p w14:paraId="5A83B5D6"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Italy ranks 20 out of 27 EU countries plus Turkey when it comes to knowledge of English as second language. This is a handicap when Italy seeks to compete at the EU or global level. </w:t>
            </w:r>
          </w:p>
        </w:tc>
      </w:tr>
      <w:tr w:rsidR="00A93DDA" w:rsidRPr="00A93DDA" w14:paraId="328942C8" w14:textId="77777777" w:rsidTr="00C1320F">
        <w:tc>
          <w:tcPr>
            <w:tcW w:w="194" w:type="pct"/>
            <w:shd w:val="clear" w:color="auto" w:fill="FD8910"/>
            <w:vAlign w:val="center"/>
          </w:tcPr>
          <w:p w14:paraId="01ECF8F0" w14:textId="77777777" w:rsidR="00A93DDA" w:rsidRPr="00A93DDA" w:rsidRDefault="00A93DDA" w:rsidP="00A93DDA">
            <w:pPr>
              <w:autoSpaceDE w:val="0"/>
              <w:autoSpaceDN w:val="0"/>
              <w:adjustRightInd w:val="0"/>
              <w:spacing w:line="240" w:lineRule="auto"/>
              <w:jc w:val="center"/>
              <w:rPr>
                <w:rFonts w:asciiTheme="minorHAnsi" w:hAnsiTheme="minorHAnsi" w:cs="Calibri"/>
                <w:color w:val="FFFFFF"/>
                <w:sz w:val="16"/>
                <w:szCs w:val="16"/>
              </w:rPr>
            </w:pPr>
            <w:r w:rsidRPr="00A93DDA">
              <w:rPr>
                <w:rFonts w:asciiTheme="minorHAnsi" w:hAnsiTheme="minorHAnsi" w:cs="Calibri"/>
                <w:color w:val="FFFFFF"/>
                <w:sz w:val="16"/>
                <w:szCs w:val="16"/>
              </w:rPr>
              <w:t>59</w:t>
            </w:r>
          </w:p>
        </w:tc>
        <w:tc>
          <w:tcPr>
            <w:tcW w:w="361" w:type="pct"/>
            <w:shd w:val="clear" w:color="auto" w:fill="FDA437"/>
            <w:vAlign w:val="center"/>
          </w:tcPr>
          <w:p w14:paraId="7B16C44F" w14:textId="77777777" w:rsidR="00A93DDA" w:rsidRPr="00A93DDA" w:rsidRDefault="00A93DDA" w:rsidP="00A93DDA">
            <w:pPr>
              <w:autoSpaceDE w:val="0"/>
              <w:autoSpaceDN w:val="0"/>
              <w:adjustRightInd w:val="0"/>
              <w:spacing w:line="240" w:lineRule="auto"/>
              <w:jc w:val="center"/>
              <w:rPr>
                <w:rFonts w:asciiTheme="minorHAnsi" w:hAnsiTheme="minorHAnsi" w:cs="Calibri"/>
                <w:color w:val="000000"/>
                <w:sz w:val="16"/>
                <w:szCs w:val="16"/>
              </w:rPr>
            </w:pPr>
            <w:r w:rsidRPr="00A93DDA">
              <w:rPr>
                <w:rFonts w:asciiTheme="minorHAnsi" w:hAnsiTheme="minorHAnsi" w:cs="Calibri"/>
                <w:color w:val="000000"/>
                <w:sz w:val="16"/>
                <w:szCs w:val="16"/>
              </w:rPr>
              <w:t>3.8.4</w:t>
            </w:r>
          </w:p>
        </w:tc>
        <w:tc>
          <w:tcPr>
            <w:tcW w:w="635" w:type="pct"/>
          </w:tcPr>
          <w:p w14:paraId="33760297"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6"/>
                <w:szCs w:val="16"/>
              </w:rPr>
            </w:pPr>
            <w:r w:rsidRPr="00A93DDA">
              <w:rPr>
                <w:rFonts w:asciiTheme="minorHAnsi" w:hAnsiTheme="minorHAnsi" w:cs="Calibri"/>
                <w:color w:val="000000"/>
                <w:sz w:val="16"/>
                <w:szCs w:val="16"/>
              </w:rPr>
              <w:t>Universities</w:t>
            </w:r>
          </w:p>
        </w:tc>
        <w:tc>
          <w:tcPr>
            <w:tcW w:w="1056" w:type="pct"/>
          </w:tcPr>
          <w:p w14:paraId="514E1706"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We propose to educate the young and bright minds of Europe how to be more entrepreneurial before they make their career choices.</w:t>
            </w:r>
          </w:p>
        </w:tc>
        <w:tc>
          <w:tcPr>
            <w:tcW w:w="1594" w:type="pct"/>
          </w:tcPr>
          <w:p w14:paraId="3BD6158D" w14:textId="77777777"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Recognizing the importance of this European model of knowledge diffusion, European universities can take a larger role in the transition to a more Entrepreneurial Society in Europe. This starts with simple no-regret policies that have been proposed before (i.e. the European Commission’s Entrepreneurship 2020 Action Plan).</w:t>
            </w:r>
          </w:p>
        </w:tc>
        <w:tc>
          <w:tcPr>
            <w:tcW w:w="1159" w:type="pct"/>
          </w:tcPr>
          <w:p w14:paraId="1F0589EE" w14:textId="4116C63A" w:rsidR="00A93DDA" w:rsidRPr="00A93DDA" w:rsidRDefault="00A93DDA" w:rsidP="00A93DDA">
            <w:pPr>
              <w:autoSpaceDE w:val="0"/>
              <w:autoSpaceDN w:val="0"/>
              <w:adjustRightInd w:val="0"/>
              <w:spacing w:line="240" w:lineRule="auto"/>
              <w:rPr>
                <w:rFonts w:asciiTheme="minorHAnsi" w:hAnsiTheme="minorHAnsi" w:cs="Calibri"/>
                <w:color w:val="000000"/>
                <w:sz w:val="12"/>
                <w:szCs w:val="12"/>
              </w:rPr>
            </w:pPr>
            <w:r w:rsidRPr="00A93DDA">
              <w:rPr>
                <w:rFonts w:asciiTheme="minorHAnsi" w:hAnsiTheme="minorHAnsi" w:cs="Calibri"/>
                <w:color w:val="000000"/>
                <w:sz w:val="12"/>
                <w:szCs w:val="12"/>
              </w:rPr>
              <w:t>Many universities started offering courses focused on startups. Courses usually taught by a researcher with no work experience outside academia, and clearly no past in startups. With the average curriculum dealing with business plans and how to get financing. We lack a startup culture and those trying to provide it have no idea what they are talking about. We are still in the phase where ever</w:t>
            </w:r>
            <w:r w:rsidR="002868CC">
              <w:rPr>
                <w:rFonts w:asciiTheme="minorHAnsi" w:hAnsiTheme="minorHAnsi" w:cs="Calibri"/>
                <w:color w:val="000000"/>
                <w:sz w:val="12"/>
                <w:szCs w:val="12"/>
              </w:rPr>
              <w:t>yone is teaching and few doing.</w:t>
            </w:r>
          </w:p>
        </w:tc>
      </w:tr>
    </w:tbl>
    <w:p w14:paraId="56D3CBE5" w14:textId="77777777" w:rsidR="00A93DDA" w:rsidRPr="00A93DDA" w:rsidRDefault="00A93DDA" w:rsidP="00DE430E">
      <w:pPr>
        <w:autoSpaceDE w:val="0"/>
        <w:autoSpaceDN w:val="0"/>
        <w:adjustRightInd w:val="0"/>
        <w:spacing w:line="240" w:lineRule="auto"/>
        <w:jc w:val="both"/>
        <w:rPr>
          <w:rFonts w:cs="Calibri"/>
          <w:color w:val="000000"/>
          <w:sz w:val="22"/>
          <w:szCs w:val="22"/>
        </w:rPr>
        <w:sectPr w:rsidR="00A93DDA" w:rsidRPr="00A93DDA" w:rsidSect="00A93DDA">
          <w:type w:val="continuous"/>
          <w:pgSz w:w="11900" w:h="16840"/>
          <w:pgMar w:top="1680" w:right="1417" w:bottom="1417" w:left="1417" w:header="426" w:footer="596" w:gutter="0"/>
          <w:cols w:space="708"/>
          <w:titlePg/>
          <w:docGrid w:linePitch="360"/>
        </w:sectPr>
      </w:pPr>
    </w:p>
    <w:p w14:paraId="1641F6D9" w14:textId="11D32FEC" w:rsidR="00B015BE" w:rsidRPr="00A93DDA" w:rsidRDefault="00B015BE" w:rsidP="001F366F">
      <w:pPr>
        <w:autoSpaceDE w:val="0"/>
        <w:autoSpaceDN w:val="0"/>
        <w:adjustRightInd w:val="0"/>
        <w:spacing w:line="240" w:lineRule="auto"/>
        <w:jc w:val="both"/>
        <w:rPr>
          <w:rFonts w:cs="Calibri"/>
          <w:color w:val="000000"/>
          <w:szCs w:val="22"/>
        </w:rPr>
      </w:pPr>
    </w:p>
    <w:sectPr w:rsidR="00B015BE" w:rsidRPr="00A93DDA" w:rsidSect="00CF1E7E">
      <w:type w:val="continuous"/>
      <w:pgSz w:w="11900" w:h="16840"/>
      <w:pgMar w:top="1680" w:right="1417" w:bottom="1417" w:left="1417" w:header="426" w:footer="596"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F383EE" w14:textId="77777777" w:rsidR="00E56A76" w:rsidRDefault="00E56A76" w:rsidP="00A64953">
      <w:r>
        <w:separator/>
      </w:r>
    </w:p>
  </w:endnote>
  <w:endnote w:type="continuationSeparator" w:id="0">
    <w:p w14:paraId="1058C93A" w14:textId="77777777" w:rsidR="00E56A76" w:rsidRDefault="00E56A76" w:rsidP="00A64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ヒラギノ角ゴ Pro W3">
    <w:panose1 w:val="020B0300000000000000"/>
    <w:charset w:val="80"/>
    <w:family w:val="swiss"/>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Geneva"/>
    <w:panose1 w:val="02040503050201020203"/>
    <w:charset w:val="00"/>
    <w:family w:val="roman"/>
    <w:notTrueType/>
    <w:pitch w:val="variable"/>
    <w:sig w:usb0="60000287" w:usb1="00000001" w:usb2="00000000" w:usb3="00000000" w:csb0="0000019F" w:csb1="00000000"/>
  </w:font>
  <w:font w:name="Lucida Grande">
    <w:altName w:val="Arial"/>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Bold">
    <w:panose1 w:val="020B0604020202020204"/>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5000" w:type="pct"/>
      <w:tblLook w:val="04A0" w:firstRow="1" w:lastRow="0" w:firstColumn="1" w:lastColumn="0" w:noHBand="0" w:noVBand="1"/>
    </w:tblPr>
    <w:tblGrid>
      <w:gridCol w:w="3783"/>
      <w:gridCol w:w="1716"/>
      <w:gridCol w:w="3783"/>
    </w:tblGrid>
    <w:tr w:rsidR="00275E75" w:rsidRPr="00A77710" w14:paraId="3E649D76" w14:textId="77777777" w:rsidTr="00A77710">
      <w:trPr>
        <w:trHeight w:val="151"/>
      </w:trPr>
      <w:tc>
        <w:tcPr>
          <w:tcW w:w="2250" w:type="pct"/>
          <w:tcBorders>
            <w:top w:val="nil"/>
            <w:left w:val="nil"/>
            <w:bottom w:val="single" w:sz="4" w:space="0" w:color="4F81BD"/>
            <w:right w:val="nil"/>
          </w:tcBorders>
        </w:tcPr>
        <w:p w14:paraId="1ABC5EDC" w14:textId="77777777" w:rsidR="00275E75" w:rsidRPr="00A77710" w:rsidRDefault="00275E75" w:rsidP="00A64953">
          <w:pPr>
            <w:pStyle w:val="Header"/>
          </w:pPr>
        </w:p>
      </w:tc>
      <w:tc>
        <w:tcPr>
          <w:tcW w:w="500" w:type="pct"/>
          <w:vMerge w:val="restart"/>
          <w:noWrap/>
          <w:vAlign w:val="center"/>
          <w:hideMark/>
        </w:tcPr>
        <w:p w14:paraId="478FEFE5" w14:textId="77777777" w:rsidR="00275E75" w:rsidRPr="00A77710" w:rsidRDefault="00275E75">
          <w:pPr>
            <w:pStyle w:val="NoSpacing"/>
            <w:spacing w:line="276" w:lineRule="auto"/>
            <w:rPr>
              <w:color w:val="365F91"/>
            </w:rPr>
          </w:pPr>
          <w:r w:rsidRPr="00A77710">
            <w:rPr>
              <w:rFonts w:ascii="Cambria" w:hAnsi="Cambria"/>
              <w:color w:val="365F91"/>
            </w:rPr>
            <w:t>[Geef de tekst op]</w:t>
          </w:r>
        </w:p>
      </w:tc>
      <w:tc>
        <w:tcPr>
          <w:tcW w:w="2250" w:type="pct"/>
          <w:tcBorders>
            <w:top w:val="nil"/>
            <w:left w:val="nil"/>
            <w:bottom w:val="single" w:sz="4" w:space="0" w:color="4F81BD"/>
            <w:right w:val="nil"/>
          </w:tcBorders>
        </w:tcPr>
        <w:p w14:paraId="77F2F316" w14:textId="77777777" w:rsidR="00275E75" w:rsidRPr="00A77710" w:rsidRDefault="00275E75" w:rsidP="00A64953">
          <w:pPr>
            <w:pStyle w:val="Header"/>
          </w:pPr>
        </w:p>
      </w:tc>
    </w:tr>
    <w:tr w:rsidR="00275E75" w:rsidRPr="00A77710" w14:paraId="42FCDA12" w14:textId="77777777" w:rsidTr="00A77710">
      <w:trPr>
        <w:trHeight w:val="150"/>
      </w:trPr>
      <w:tc>
        <w:tcPr>
          <w:tcW w:w="2250" w:type="pct"/>
          <w:tcBorders>
            <w:top w:val="single" w:sz="4" w:space="0" w:color="4F81BD"/>
            <w:left w:val="nil"/>
            <w:bottom w:val="nil"/>
            <w:right w:val="nil"/>
          </w:tcBorders>
        </w:tcPr>
        <w:p w14:paraId="34F9851F" w14:textId="77777777" w:rsidR="00275E75" w:rsidRPr="00A77710" w:rsidRDefault="00275E75" w:rsidP="00A64953">
          <w:pPr>
            <w:pStyle w:val="Header"/>
          </w:pPr>
        </w:p>
      </w:tc>
      <w:tc>
        <w:tcPr>
          <w:tcW w:w="0" w:type="auto"/>
          <w:vMerge/>
          <w:vAlign w:val="center"/>
          <w:hideMark/>
        </w:tcPr>
        <w:p w14:paraId="6374B427" w14:textId="77777777" w:rsidR="00275E75" w:rsidRPr="00A77710" w:rsidRDefault="00275E75" w:rsidP="00A64953"/>
      </w:tc>
      <w:tc>
        <w:tcPr>
          <w:tcW w:w="2250" w:type="pct"/>
          <w:tcBorders>
            <w:top w:val="single" w:sz="4" w:space="0" w:color="4F81BD"/>
            <w:left w:val="nil"/>
            <w:bottom w:val="nil"/>
            <w:right w:val="nil"/>
          </w:tcBorders>
        </w:tcPr>
        <w:p w14:paraId="0F30175C" w14:textId="77777777" w:rsidR="00275E75" w:rsidRPr="00A77710" w:rsidRDefault="00275E75" w:rsidP="00A64953">
          <w:pPr>
            <w:pStyle w:val="Header"/>
          </w:pPr>
        </w:p>
      </w:tc>
    </w:tr>
  </w:tbl>
  <w:p w14:paraId="7946C079" w14:textId="77777777" w:rsidR="00275E75" w:rsidRDefault="00275E75" w:rsidP="00A649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0391F" w14:textId="77777777" w:rsidR="00275E75" w:rsidRPr="00D722DA" w:rsidRDefault="00275E75" w:rsidP="00D722DA">
    <w:pPr>
      <w:pStyle w:val="Footer"/>
    </w:pPr>
    <w:r w:rsidRPr="00ED2306">
      <w:rPr>
        <w:noProof/>
        <w:lang w:val="en-US" w:eastAsia="en-US"/>
      </w:rPr>
      <w:drawing>
        <wp:inline distT="0" distB="0" distL="0" distR="0" wp14:anchorId="59B95EE0" wp14:editId="3779B03C">
          <wp:extent cx="5756910" cy="1038547"/>
          <wp:effectExtent l="0" t="0" r="0" b="9525"/>
          <wp:docPr id="51" name="Picture 51" descr="C:\Users\Ma\Downloads\bottom w flag n nmb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Downloads\bottom w flag n nmbr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1038547"/>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622C8" w14:textId="77777777" w:rsidR="00275E75" w:rsidRDefault="00275E75" w:rsidP="00CC3CE3">
    <w:pPr>
      <w:pStyle w:val="Footer"/>
      <w:ind w:left="-1417" w:firstLine="141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CFB64" w14:textId="77777777" w:rsidR="00275E75" w:rsidRDefault="00275E75" w:rsidP="00CC3CE3">
    <w:pPr>
      <w:pStyle w:val="Footer"/>
      <w:ind w:left="-1417" w:firstLine="1417"/>
    </w:pPr>
    <w:r w:rsidRPr="00ED2306">
      <w:rPr>
        <w:noProof/>
        <w:lang w:val="en-US" w:eastAsia="en-US"/>
      </w:rPr>
      <w:drawing>
        <wp:inline distT="0" distB="0" distL="0" distR="0" wp14:anchorId="3F4DFC44" wp14:editId="2DD38682">
          <wp:extent cx="5756910" cy="1038547"/>
          <wp:effectExtent l="0" t="0" r="0" b="9525"/>
          <wp:docPr id="50" name="Picture 50" descr="C:\Users\Ma\Downloads\bottom w flag n nmb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Downloads\bottom w flag n nmbr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103854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88DE9A" w14:textId="77777777" w:rsidR="00E56A76" w:rsidRDefault="00E56A76" w:rsidP="00A64953">
      <w:r>
        <w:separator/>
      </w:r>
    </w:p>
  </w:footnote>
  <w:footnote w:type="continuationSeparator" w:id="0">
    <w:p w14:paraId="7E09866A" w14:textId="77777777" w:rsidR="00E56A76" w:rsidRDefault="00E56A76" w:rsidP="00A64953">
      <w:r>
        <w:continuationSeparator/>
      </w:r>
    </w:p>
  </w:footnote>
  <w:footnote w:id="1">
    <w:p w14:paraId="1EEB4C4F" w14:textId="6C0775AA" w:rsidR="00275E75" w:rsidRPr="00EA4652" w:rsidRDefault="00275E75" w:rsidP="00EA4652">
      <w:pPr>
        <w:pStyle w:val="FootnoteText"/>
        <w:ind w:left="0" w:firstLine="0"/>
        <w:rPr>
          <w:sz w:val="16"/>
          <w:szCs w:val="16"/>
          <w:lang w:val="en-US"/>
        </w:rPr>
      </w:pPr>
      <w:r w:rsidRPr="00EA4652">
        <w:rPr>
          <w:rStyle w:val="FootnoteReference"/>
          <w:sz w:val="16"/>
          <w:szCs w:val="16"/>
        </w:rPr>
        <w:footnoteRef/>
      </w:r>
      <w:r w:rsidRPr="00EA4652">
        <w:rPr>
          <w:sz w:val="16"/>
          <w:szCs w:val="16"/>
          <w:lang w:val="en-US"/>
        </w:rPr>
        <w:t xml:space="preserve"> </w:t>
      </w:r>
      <w:r>
        <w:rPr>
          <w:sz w:val="16"/>
          <w:szCs w:val="16"/>
          <w:lang w:val="en-US"/>
        </w:rPr>
        <w:t>For comparison, Italy ranks 47</w:t>
      </w:r>
      <w:r w:rsidRPr="00EA4652">
        <w:rPr>
          <w:sz w:val="16"/>
          <w:szCs w:val="16"/>
          <w:vertAlign w:val="superscript"/>
          <w:lang w:val="en-US"/>
        </w:rPr>
        <w:t>th</w:t>
      </w:r>
      <w:r>
        <w:rPr>
          <w:sz w:val="16"/>
          <w:szCs w:val="16"/>
          <w:lang w:val="en-US"/>
        </w:rPr>
        <w:t xml:space="preserve"> out of 190 countries in the Worldbank’s (2018) Doing Business Index between Romania and Armenia. Germany and the UK rank 20 and 7, respectively. That index covers only some of the relevant aspects of the entrepreneurial ecosystem. </w:t>
      </w:r>
    </w:p>
  </w:footnote>
  <w:footnote w:id="2">
    <w:p w14:paraId="26DBFFD8" w14:textId="7A5B131A" w:rsidR="00275E75" w:rsidRPr="00EA4652" w:rsidRDefault="00275E75" w:rsidP="00BB5097">
      <w:pPr>
        <w:pStyle w:val="FootnoteText"/>
        <w:ind w:left="0" w:firstLine="0"/>
        <w:rPr>
          <w:sz w:val="16"/>
          <w:szCs w:val="16"/>
          <w:lang w:val="en-GB"/>
        </w:rPr>
      </w:pPr>
      <w:r w:rsidRPr="00EA4652">
        <w:rPr>
          <w:rStyle w:val="FootnoteReference"/>
          <w:sz w:val="16"/>
          <w:szCs w:val="16"/>
          <w:lang w:val="en-GB"/>
        </w:rPr>
        <w:footnoteRef/>
      </w:r>
      <w:r w:rsidRPr="00EA4652">
        <w:rPr>
          <w:sz w:val="16"/>
          <w:szCs w:val="16"/>
          <w:lang w:val="en-GB"/>
        </w:rPr>
        <w:t xml:space="preserve"> The REDI- report cards for the rest of the area scan be found in Appendix I and give a similar picture for Nord-Est, Nord-Ovest, Sud and Isole.</w:t>
      </w:r>
    </w:p>
  </w:footnote>
  <w:footnote w:id="3">
    <w:p w14:paraId="620DB21B" w14:textId="2B464F63" w:rsidR="00275E75" w:rsidRPr="00EA4652" w:rsidRDefault="00275E75" w:rsidP="00213A98">
      <w:pPr>
        <w:pStyle w:val="FootnoteText"/>
        <w:ind w:left="0" w:firstLine="0"/>
        <w:rPr>
          <w:sz w:val="16"/>
          <w:szCs w:val="16"/>
          <w:lang w:val="en-US"/>
        </w:rPr>
      </w:pPr>
      <w:r w:rsidRPr="00EA4652">
        <w:rPr>
          <w:rStyle w:val="FootnoteReference"/>
          <w:sz w:val="16"/>
          <w:szCs w:val="16"/>
        </w:rPr>
        <w:footnoteRef/>
      </w:r>
      <w:r w:rsidRPr="00EA4652">
        <w:rPr>
          <w:sz w:val="16"/>
          <w:szCs w:val="16"/>
          <w:lang w:val="en-US"/>
        </w:rPr>
        <w:t xml:space="preserve"> European Quality of Government Index can be found </w:t>
      </w:r>
      <w:hyperlink r:id="rId1" w:history="1">
        <w:r w:rsidRPr="00EA4652">
          <w:rPr>
            <w:rStyle w:val="Hyperlink"/>
            <w:sz w:val="16"/>
            <w:szCs w:val="16"/>
            <w:lang w:val="en-US"/>
          </w:rPr>
          <w:t>here</w:t>
        </w:r>
      </w:hyperlink>
      <w:r w:rsidRPr="00EA4652">
        <w:rPr>
          <w:sz w:val="16"/>
          <w:szCs w:val="16"/>
          <w:lang w:val="en-US"/>
        </w:rPr>
        <w:t xml:space="preserve"> and shows Italian regions decidedly lags its European competitors.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C4F55" w14:textId="77777777" w:rsidR="00275E75" w:rsidRDefault="00275E75" w:rsidP="00C57605">
    <w:pPr>
      <w:pStyle w:val="Header"/>
    </w:pPr>
    <w:r>
      <w:rPr>
        <w:noProof/>
        <w:lang w:val="en-US" w:eastAsia="en-US"/>
      </w:rPr>
      <w:drawing>
        <wp:anchor distT="0" distB="0" distL="114300" distR="114300" simplePos="0" relativeHeight="251661824" behindDoc="0" locked="0" layoutInCell="1" allowOverlap="1" wp14:anchorId="482C3571" wp14:editId="630B0A90">
          <wp:simplePos x="0" y="0"/>
          <wp:positionH relativeFrom="column">
            <wp:posOffset>4846320</wp:posOffset>
          </wp:positionH>
          <wp:positionV relativeFrom="paragraph">
            <wp:posOffset>0</wp:posOffset>
          </wp:positionV>
          <wp:extent cx="914400" cy="669925"/>
          <wp:effectExtent l="0" t="0" r="0" b="0"/>
          <wp:wrapNone/>
          <wp:docPr id="47" name="Afbeelding 1" descr="Macintosh HD:Users:nathalie:Documents:Nathalie:Fires:Huisstijl:Powerpoint sjabloon:Beeld:fires_logo_rgb_v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nathalie:Documents:Nathalie:Fires:Huisstijl:Powerpoint sjabloon:Beeld:fires_logo_rgb_v2.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66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BFC">
      <w:rPr>
        <w:noProof/>
        <w:lang w:val="en-US" w:eastAsia="en-US"/>
      </w:rPr>
      <w:drawing>
        <wp:inline distT="0" distB="0" distL="0" distR="0" wp14:anchorId="39A12056" wp14:editId="75625DE7">
          <wp:extent cx="1560794" cy="1055663"/>
          <wp:effectExtent l="0" t="0" r="1905" b="0"/>
          <wp:docPr id="46" name="Picture 46" descr="C:\Users\Ma\Downloads\upper 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ownloads\upper left.jpg"/>
                  <pic:cNvPicPr>
                    <a:picLocks noChangeAspect="1" noChangeArrowheads="1"/>
                  </pic:cNvPicPr>
                </pic:nvPicPr>
                <pic:blipFill rotWithShape="1">
                  <a:blip r:embed="rId2">
                    <a:extLst>
                      <a:ext uri="{28A0092B-C50C-407E-A947-70E740481C1C}">
                        <a14:useLocalDpi xmlns:a14="http://schemas.microsoft.com/office/drawing/2010/main" val="0"/>
                      </a:ext>
                    </a:extLst>
                  </a:blip>
                  <a:srcRect l="5534" t="4456"/>
                  <a:stretch/>
                </pic:blipFill>
                <pic:spPr bwMode="auto">
                  <a:xfrm>
                    <a:off x="0" y="0"/>
                    <a:ext cx="1564107" cy="105790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32501" w14:textId="77777777" w:rsidR="00275E75" w:rsidRDefault="00275E75" w:rsidP="00517978">
    <w:pPr>
      <w:pStyle w:val="Header"/>
      <w:tabs>
        <w:tab w:val="clear" w:pos="4536"/>
        <w:tab w:val="clear" w:pos="9072"/>
        <w:tab w:val="left" w:pos="674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5FA13" w14:textId="77777777" w:rsidR="00275E75" w:rsidRDefault="00275E75" w:rsidP="00517978">
    <w:pPr>
      <w:pStyle w:val="Header"/>
      <w:tabs>
        <w:tab w:val="clear" w:pos="4536"/>
        <w:tab w:val="clear" w:pos="9072"/>
        <w:tab w:val="left" w:pos="6740"/>
      </w:tabs>
    </w:pPr>
    <w:r>
      <w:rPr>
        <w:noProof/>
        <w:lang w:val="en-US" w:eastAsia="en-US"/>
      </w:rPr>
      <w:drawing>
        <wp:anchor distT="0" distB="0" distL="114300" distR="114300" simplePos="0" relativeHeight="251659776" behindDoc="0" locked="0" layoutInCell="1" allowOverlap="1" wp14:anchorId="526AC71C" wp14:editId="65656ACA">
          <wp:simplePos x="0" y="0"/>
          <wp:positionH relativeFrom="column">
            <wp:posOffset>4846320</wp:posOffset>
          </wp:positionH>
          <wp:positionV relativeFrom="paragraph">
            <wp:posOffset>-41910</wp:posOffset>
          </wp:positionV>
          <wp:extent cx="914400" cy="669925"/>
          <wp:effectExtent l="0" t="0" r="0" b="0"/>
          <wp:wrapNone/>
          <wp:docPr id="43" name="Afbeelding 1" descr="Macintosh HD:Users:nathalie:Documents:Nathalie:Fires:Huisstijl:Powerpoint sjabloon:Beeld:fires_logo_rgb_v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nathalie:Documents:Nathalie:Fires:Huisstijl:Powerpoint sjabloon:Beeld:fires_logo_rgb_v2.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66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BFC">
      <w:rPr>
        <w:noProof/>
        <w:lang w:val="en-US" w:eastAsia="en-US"/>
      </w:rPr>
      <w:drawing>
        <wp:inline distT="0" distB="0" distL="0" distR="0" wp14:anchorId="7EBEBD9E" wp14:editId="767D485D">
          <wp:extent cx="1560794" cy="1055663"/>
          <wp:effectExtent l="0" t="0" r="1905" b="0"/>
          <wp:docPr id="42" name="Picture 42" descr="C:\Users\Ma\Downloads\upper 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ownloads\upper left.jpg"/>
                  <pic:cNvPicPr>
                    <a:picLocks noChangeAspect="1" noChangeArrowheads="1"/>
                  </pic:cNvPicPr>
                </pic:nvPicPr>
                <pic:blipFill rotWithShape="1">
                  <a:blip r:embed="rId2">
                    <a:extLst>
                      <a:ext uri="{28A0092B-C50C-407E-A947-70E740481C1C}">
                        <a14:useLocalDpi xmlns:a14="http://schemas.microsoft.com/office/drawing/2010/main" val="0"/>
                      </a:ext>
                    </a:extLst>
                  </a:blip>
                  <a:srcRect l="5534" t="4456"/>
                  <a:stretch/>
                </pic:blipFill>
                <pic:spPr bwMode="auto">
                  <a:xfrm>
                    <a:off x="0" y="0"/>
                    <a:ext cx="1564107" cy="1057904"/>
                  </a:xfrm>
                  <a:prstGeom prst="rect">
                    <a:avLst/>
                  </a:prstGeom>
                  <a:noFill/>
                  <a:ln>
                    <a:noFill/>
                  </a:ln>
                  <a:extLst>
                    <a:ext uri="{53640926-AAD7-44D8-BBD7-CCE9431645EC}">
                      <a14:shadowObscured xmlns:a14="http://schemas.microsoft.com/office/drawing/2010/main"/>
                    </a:ext>
                  </a:extLst>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B30F59"/>
    <w:multiLevelType w:val="multilevel"/>
    <w:tmpl w:val="0409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15:restartNumberingAfterBreak="0">
    <w:nsid w:val="2D07110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8224125"/>
    <w:multiLevelType w:val="multilevel"/>
    <w:tmpl w:val="2B7EE4DE"/>
    <w:lvl w:ilvl="0">
      <w:start w:val="1"/>
      <w:numFmt w:val="bullet"/>
      <w:lvlText w:val=""/>
      <w:lvlJc w:val="left"/>
      <w:pPr>
        <w:ind w:left="720" w:hanging="55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5F45C88"/>
    <w:multiLevelType w:val="hybridMultilevel"/>
    <w:tmpl w:val="BDBEDC9A"/>
    <w:lvl w:ilvl="0" w:tplc="581EFF38">
      <w:start w:val="1"/>
      <w:numFmt w:val="bullet"/>
      <w:pStyle w:val="Enumeration"/>
      <w:lvlText w:val=""/>
      <w:lvlJc w:val="left"/>
      <w:pPr>
        <w:tabs>
          <w:tab w:val="num" w:pos="567"/>
        </w:tabs>
        <w:ind w:left="567" w:hanging="397"/>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B33FE5"/>
    <w:multiLevelType w:val="hybridMultilevel"/>
    <w:tmpl w:val="D23CE44C"/>
    <w:lvl w:ilvl="0" w:tplc="563E0186">
      <w:start w:val="1"/>
      <w:numFmt w:val="bullet"/>
      <w:lvlText w:val="-"/>
      <w:lvlJc w:val="left"/>
      <w:pPr>
        <w:ind w:left="360" w:hanging="360"/>
      </w:pPr>
      <w:rPr>
        <w:rFonts w:ascii="Calibri" w:eastAsia="ヒラギノ角ゴ Pro W3"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7F811C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92A5919"/>
    <w:multiLevelType w:val="hybridMultilevel"/>
    <w:tmpl w:val="C198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2563AA"/>
    <w:multiLevelType w:val="hybridMultilevel"/>
    <w:tmpl w:val="C86430EC"/>
    <w:lvl w:ilvl="0" w:tplc="79FE8612">
      <w:start w:val="12"/>
      <w:numFmt w:val="bullet"/>
      <w:lvlText w:val="-"/>
      <w:lvlJc w:val="left"/>
      <w:pPr>
        <w:ind w:left="720" w:hanging="360"/>
      </w:pPr>
      <w:rPr>
        <w:rFonts w:ascii="Calibri" w:eastAsia="ヒラギノ角ゴ Pro W3"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5129CB"/>
    <w:multiLevelType w:val="hybridMultilevel"/>
    <w:tmpl w:val="4E08FC0E"/>
    <w:lvl w:ilvl="0" w:tplc="49E0A708">
      <w:numFmt w:val="bullet"/>
      <w:lvlText w:val="-"/>
      <w:lvlJc w:val="left"/>
      <w:pPr>
        <w:ind w:left="720" w:hanging="360"/>
      </w:pPr>
      <w:rPr>
        <w:rFonts w:ascii="Calibri" w:eastAsia="MS Mincho"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7320E0"/>
    <w:multiLevelType w:val="hybridMultilevel"/>
    <w:tmpl w:val="9CBA0B8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D0103C0"/>
    <w:multiLevelType w:val="hybridMultilevel"/>
    <w:tmpl w:val="13D66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0205DB"/>
    <w:multiLevelType w:val="multilevel"/>
    <w:tmpl w:val="09CC46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DE80466"/>
    <w:multiLevelType w:val="hybridMultilevel"/>
    <w:tmpl w:val="A2DAF59E"/>
    <w:lvl w:ilvl="0" w:tplc="A6EAD9BA">
      <w:numFmt w:val="bullet"/>
      <w:lvlText w:val="•"/>
      <w:lvlJc w:val="left"/>
      <w:pPr>
        <w:ind w:left="1068" w:hanging="360"/>
      </w:pPr>
      <w:rPr>
        <w:rFonts w:ascii="Verdana" w:eastAsiaTheme="minorEastAsia" w:hAnsi="Verdana" w:cstheme="minorBidi"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3" w15:restartNumberingAfterBreak="0">
    <w:nsid w:val="7E3C25B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F4260FE"/>
    <w:multiLevelType w:val="multilevel"/>
    <w:tmpl w:val="4712E6DA"/>
    <w:lvl w:ilvl="0">
      <w:start w:val="1"/>
      <w:numFmt w:val="bullet"/>
      <w:lvlText w:val=""/>
      <w:lvlJc w:val="left"/>
      <w:pPr>
        <w:tabs>
          <w:tab w:val="num" w:pos="567"/>
        </w:tabs>
        <w:ind w:left="56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0"/>
  </w:num>
  <w:num w:numId="4">
    <w:abstractNumId w:val="1"/>
  </w:num>
  <w:num w:numId="5">
    <w:abstractNumId w:val="8"/>
  </w:num>
  <w:num w:numId="6">
    <w:abstractNumId w:val="3"/>
  </w:num>
  <w:num w:numId="7">
    <w:abstractNumId w:val="11"/>
  </w:num>
  <w:num w:numId="8">
    <w:abstractNumId w:val="2"/>
  </w:num>
  <w:num w:numId="9">
    <w:abstractNumId w:val="14"/>
  </w:num>
  <w:num w:numId="10">
    <w:abstractNumId w:val="12"/>
  </w:num>
  <w:num w:numId="11">
    <w:abstractNumId w:val="7"/>
  </w:num>
  <w:num w:numId="12">
    <w:abstractNumId w:val="4"/>
  </w:num>
  <w:num w:numId="13">
    <w:abstractNumId w:val="9"/>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3"/>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982"/>
    <w:rsid w:val="000056BA"/>
    <w:rsid w:val="00010EE8"/>
    <w:rsid w:val="000152AA"/>
    <w:rsid w:val="00017A97"/>
    <w:rsid w:val="0003104C"/>
    <w:rsid w:val="000628D5"/>
    <w:rsid w:val="00077380"/>
    <w:rsid w:val="00082493"/>
    <w:rsid w:val="000A689B"/>
    <w:rsid w:val="000B44C4"/>
    <w:rsid w:val="000B4D25"/>
    <w:rsid w:val="000B6ABE"/>
    <w:rsid w:val="000D1057"/>
    <w:rsid w:val="000D11CC"/>
    <w:rsid w:val="000E2BC2"/>
    <w:rsid w:val="000E7247"/>
    <w:rsid w:val="000F051A"/>
    <w:rsid w:val="00103813"/>
    <w:rsid w:val="001131DF"/>
    <w:rsid w:val="00142C63"/>
    <w:rsid w:val="001673EB"/>
    <w:rsid w:val="00180210"/>
    <w:rsid w:val="00185DA7"/>
    <w:rsid w:val="00195E49"/>
    <w:rsid w:val="001A3EC5"/>
    <w:rsid w:val="001C0203"/>
    <w:rsid w:val="001C2222"/>
    <w:rsid w:val="001D6CDD"/>
    <w:rsid w:val="001E6982"/>
    <w:rsid w:val="001F1770"/>
    <w:rsid w:val="001F366F"/>
    <w:rsid w:val="00211AB6"/>
    <w:rsid w:val="00213A98"/>
    <w:rsid w:val="00220BFC"/>
    <w:rsid w:val="00230C32"/>
    <w:rsid w:val="0024045F"/>
    <w:rsid w:val="00250E6C"/>
    <w:rsid w:val="002554A3"/>
    <w:rsid w:val="00275E75"/>
    <w:rsid w:val="00277FCF"/>
    <w:rsid w:val="002868CC"/>
    <w:rsid w:val="002B3896"/>
    <w:rsid w:val="002B3DFD"/>
    <w:rsid w:val="002B76AD"/>
    <w:rsid w:val="002C48A4"/>
    <w:rsid w:val="002D3613"/>
    <w:rsid w:val="002E3398"/>
    <w:rsid w:val="003138B8"/>
    <w:rsid w:val="00314117"/>
    <w:rsid w:val="00317FA7"/>
    <w:rsid w:val="00334F1C"/>
    <w:rsid w:val="00354E2A"/>
    <w:rsid w:val="003C28F4"/>
    <w:rsid w:val="003C4DC3"/>
    <w:rsid w:val="003D5324"/>
    <w:rsid w:val="003E1FC4"/>
    <w:rsid w:val="003E7ACF"/>
    <w:rsid w:val="003F2122"/>
    <w:rsid w:val="003F4022"/>
    <w:rsid w:val="0040794F"/>
    <w:rsid w:val="004117B7"/>
    <w:rsid w:val="00430E96"/>
    <w:rsid w:val="00451C52"/>
    <w:rsid w:val="004662F4"/>
    <w:rsid w:val="00467207"/>
    <w:rsid w:val="0047179D"/>
    <w:rsid w:val="004866F6"/>
    <w:rsid w:val="00496821"/>
    <w:rsid w:val="004A71F6"/>
    <w:rsid w:val="004B2A78"/>
    <w:rsid w:val="004E032E"/>
    <w:rsid w:val="004E397B"/>
    <w:rsid w:val="00517978"/>
    <w:rsid w:val="0052120D"/>
    <w:rsid w:val="00526997"/>
    <w:rsid w:val="00585F28"/>
    <w:rsid w:val="00590CFD"/>
    <w:rsid w:val="00590D2F"/>
    <w:rsid w:val="00596668"/>
    <w:rsid w:val="005A254B"/>
    <w:rsid w:val="005C1324"/>
    <w:rsid w:val="005D1E3C"/>
    <w:rsid w:val="00612621"/>
    <w:rsid w:val="00615C7A"/>
    <w:rsid w:val="006712D3"/>
    <w:rsid w:val="00671D4B"/>
    <w:rsid w:val="00682A19"/>
    <w:rsid w:val="00691E3B"/>
    <w:rsid w:val="006B2D13"/>
    <w:rsid w:val="006B7E64"/>
    <w:rsid w:val="006C579E"/>
    <w:rsid w:val="006E1295"/>
    <w:rsid w:val="006E1760"/>
    <w:rsid w:val="006F1B5F"/>
    <w:rsid w:val="006F1E2B"/>
    <w:rsid w:val="006F2E90"/>
    <w:rsid w:val="006F52DF"/>
    <w:rsid w:val="006F5AB7"/>
    <w:rsid w:val="00712487"/>
    <w:rsid w:val="00721941"/>
    <w:rsid w:val="007223FF"/>
    <w:rsid w:val="007259C7"/>
    <w:rsid w:val="00726E9C"/>
    <w:rsid w:val="007311C6"/>
    <w:rsid w:val="007331D9"/>
    <w:rsid w:val="00741CEC"/>
    <w:rsid w:val="0075203F"/>
    <w:rsid w:val="00770C48"/>
    <w:rsid w:val="0077510F"/>
    <w:rsid w:val="007A4C98"/>
    <w:rsid w:val="007A5737"/>
    <w:rsid w:val="007A6576"/>
    <w:rsid w:val="007E252B"/>
    <w:rsid w:val="00800445"/>
    <w:rsid w:val="00804847"/>
    <w:rsid w:val="008566A9"/>
    <w:rsid w:val="00871608"/>
    <w:rsid w:val="0088078E"/>
    <w:rsid w:val="00890E41"/>
    <w:rsid w:val="008915CA"/>
    <w:rsid w:val="00894376"/>
    <w:rsid w:val="008B7570"/>
    <w:rsid w:val="008D4684"/>
    <w:rsid w:val="008E37B6"/>
    <w:rsid w:val="008E58B9"/>
    <w:rsid w:val="008F4777"/>
    <w:rsid w:val="00900DA5"/>
    <w:rsid w:val="00905E95"/>
    <w:rsid w:val="00913051"/>
    <w:rsid w:val="00931B34"/>
    <w:rsid w:val="00933DA7"/>
    <w:rsid w:val="009542A9"/>
    <w:rsid w:val="00957EDE"/>
    <w:rsid w:val="00963B9F"/>
    <w:rsid w:val="009738B1"/>
    <w:rsid w:val="00975E8E"/>
    <w:rsid w:val="0099309D"/>
    <w:rsid w:val="009A5DF8"/>
    <w:rsid w:val="009A7D33"/>
    <w:rsid w:val="009B41EB"/>
    <w:rsid w:val="009B43E4"/>
    <w:rsid w:val="009C5C02"/>
    <w:rsid w:val="009D5A64"/>
    <w:rsid w:val="009E2BF7"/>
    <w:rsid w:val="009F1F03"/>
    <w:rsid w:val="009F4FDC"/>
    <w:rsid w:val="009F5B7C"/>
    <w:rsid w:val="00A13471"/>
    <w:rsid w:val="00A22B3B"/>
    <w:rsid w:val="00A26B1F"/>
    <w:rsid w:val="00A41852"/>
    <w:rsid w:val="00A4407E"/>
    <w:rsid w:val="00A64851"/>
    <w:rsid w:val="00A64953"/>
    <w:rsid w:val="00A77710"/>
    <w:rsid w:val="00A90D82"/>
    <w:rsid w:val="00A93DDA"/>
    <w:rsid w:val="00AC1E4E"/>
    <w:rsid w:val="00AE78FA"/>
    <w:rsid w:val="00B015BE"/>
    <w:rsid w:val="00B042F2"/>
    <w:rsid w:val="00B15555"/>
    <w:rsid w:val="00B32377"/>
    <w:rsid w:val="00B34633"/>
    <w:rsid w:val="00B5383C"/>
    <w:rsid w:val="00B55B50"/>
    <w:rsid w:val="00B74E3E"/>
    <w:rsid w:val="00B86F3E"/>
    <w:rsid w:val="00BA0B72"/>
    <w:rsid w:val="00BB5097"/>
    <w:rsid w:val="00BC2D6C"/>
    <w:rsid w:val="00BC6107"/>
    <w:rsid w:val="00BE08E5"/>
    <w:rsid w:val="00BE19B9"/>
    <w:rsid w:val="00C036B6"/>
    <w:rsid w:val="00C1320F"/>
    <w:rsid w:val="00C1457B"/>
    <w:rsid w:val="00C1736F"/>
    <w:rsid w:val="00C22665"/>
    <w:rsid w:val="00C3029A"/>
    <w:rsid w:val="00C3131F"/>
    <w:rsid w:val="00C3552A"/>
    <w:rsid w:val="00C3678D"/>
    <w:rsid w:val="00C47BB2"/>
    <w:rsid w:val="00C50662"/>
    <w:rsid w:val="00C57605"/>
    <w:rsid w:val="00C762BE"/>
    <w:rsid w:val="00C82546"/>
    <w:rsid w:val="00C919D7"/>
    <w:rsid w:val="00C931CD"/>
    <w:rsid w:val="00CB7E7B"/>
    <w:rsid w:val="00CC3CE3"/>
    <w:rsid w:val="00CE5B87"/>
    <w:rsid w:val="00CE64B5"/>
    <w:rsid w:val="00CF1E7E"/>
    <w:rsid w:val="00CF717A"/>
    <w:rsid w:val="00D24B0F"/>
    <w:rsid w:val="00D3075E"/>
    <w:rsid w:val="00D30974"/>
    <w:rsid w:val="00D3229E"/>
    <w:rsid w:val="00D32D97"/>
    <w:rsid w:val="00D633EE"/>
    <w:rsid w:val="00D70AD7"/>
    <w:rsid w:val="00D722DA"/>
    <w:rsid w:val="00D819B9"/>
    <w:rsid w:val="00DA2300"/>
    <w:rsid w:val="00DA4DB7"/>
    <w:rsid w:val="00DC141A"/>
    <w:rsid w:val="00DC2F1D"/>
    <w:rsid w:val="00DD6831"/>
    <w:rsid w:val="00DE430E"/>
    <w:rsid w:val="00DE4DAA"/>
    <w:rsid w:val="00DE631C"/>
    <w:rsid w:val="00DF295A"/>
    <w:rsid w:val="00E13C5D"/>
    <w:rsid w:val="00E179A8"/>
    <w:rsid w:val="00E328FD"/>
    <w:rsid w:val="00E33CE1"/>
    <w:rsid w:val="00E3568B"/>
    <w:rsid w:val="00E45BF4"/>
    <w:rsid w:val="00E508FE"/>
    <w:rsid w:val="00E56A76"/>
    <w:rsid w:val="00E62678"/>
    <w:rsid w:val="00E72B05"/>
    <w:rsid w:val="00E91C2B"/>
    <w:rsid w:val="00E93A14"/>
    <w:rsid w:val="00EA4652"/>
    <w:rsid w:val="00ED2306"/>
    <w:rsid w:val="00EE48FD"/>
    <w:rsid w:val="00EF045B"/>
    <w:rsid w:val="00EF5921"/>
    <w:rsid w:val="00F02EE9"/>
    <w:rsid w:val="00F04130"/>
    <w:rsid w:val="00F56E2D"/>
    <w:rsid w:val="00F66C30"/>
    <w:rsid w:val="00F9490C"/>
    <w:rsid w:val="00FB4C0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8652C1"/>
  <w14:defaultImageDpi w14:val="300"/>
  <w15:docId w15:val="{F1778390-53D2-434B-870E-BFBFADF08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673EB"/>
    <w:pPr>
      <w:spacing w:line="240" w:lineRule="exact"/>
    </w:pPr>
    <w:rPr>
      <w:rFonts w:ascii="Calibri" w:hAnsi="Calibri"/>
      <w:lang w:val="en-GB"/>
    </w:rPr>
  </w:style>
  <w:style w:type="paragraph" w:styleId="Heading1">
    <w:name w:val="heading 1"/>
    <w:aliases w:val="Heading"/>
    <w:basedOn w:val="Heading2"/>
    <w:next w:val="Normal"/>
    <w:link w:val="Heading1Char"/>
    <w:uiPriority w:val="9"/>
    <w:qFormat/>
    <w:rsid w:val="00E179A8"/>
    <w:pPr>
      <w:spacing w:before="200" w:line="384" w:lineRule="exact"/>
      <w:outlineLvl w:val="0"/>
    </w:pPr>
    <w:rPr>
      <w:color w:val="003399"/>
      <w:sz w:val="36"/>
    </w:rPr>
  </w:style>
  <w:style w:type="paragraph" w:styleId="Heading2">
    <w:name w:val="heading 2"/>
    <w:aliases w:val="Subheading1"/>
    <w:basedOn w:val="Normal"/>
    <w:next w:val="Normal"/>
    <w:link w:val="Heading2Char"/>
    <w:uiPriority w:val="9"/>
    <w:unhideWhenUsed/>
    <w:qFormat/>
    <w:rsid w:val="001D6CDD"/>
    <w:pPr>
      <w:keepNext/>
      <w:suppressAutoHyphens/>
      <w:spacing w:before="60" w:after="60" w:line="336" w:lineRule="exact"/>
      <w:outlineLvl w:val="1"/>
    </w:pPr>
    <w:rPr>
      <w:rFonts w:eastAsia="MS Gothic"/>
      <w:b/>
      <w:bCs/>
      <w:color w:val="002087"/>
      <w:sz w:val="30"/>
      <w:szCs w:val="28"/>
    </w:rPr>
  </w:style>
  <w:style w:type="paragraph" w:styleId="Heading3">
    <w:name w:val="heading 3"/>
    <w:aliases w:val="Subheading2"/>
    <w:basedOn w:val="Heading2"/>
    <w:next w:val="Normal"/>
    <w:link w:val="Heading3Char"/>
    <w:uiPriority w:val="9"/>
    <w:unhideWhenUsed/>
    <w:qFormat/>
    <w:rsid w:val="00180210"/>
    <w:pPr>
      <w:outlineLvl w:val="2"/>
    </w:pPr>
    <w:rPr>
      <w:sz w:val="26"/>
    </w:rPr>
  </w:style>
  <w:style w:type="paragraph" w:styleId="Heading4">
    <w:name w:val="heading 4"/>
    <w:aliases w:val="Subheading3"/>
    <w:basedOn w:val="Normal"/>
    <w:next w:val="Normal"/>
    <w:link w:val="Heading4Char"/>
    <w:uiPriority w:val="9"/>
    <w:unhideWhenUsed/>
    <w:qFormat/>
    <w:rsid w:val="00180210"/>
    <w:pPr>
      <w:spacing w:before="60" w:after="60" w:line="288" w:lineRule="exact"/>
      <w:outlineLvl w:val="3"/>
    </w:pPr>
    <w:rPr>
      <w:b/>
      <w:color w:val="002087"/>
      <w:sz w:val="22"/>
      <w:szCs w:val="24"/>
    </w:rPr>
  </w:style>
  <w:style w:type="paragraph" w:styleId="Heading5">
    <w:name w:val="heading 5"/>
    <w:basedOn w:val="Normal"/>
    <w:next w:val="Normal"/>
    <w:link w:val="Heading5Char"/>
    <w:uiPriority w:val="9"/>
    <w:unhideWhenUsed/>
    <w:rsid w:val="00C919D7"/>
    <w:pPr>
      <w:spacing w:before="240" w:after="60"/>
      <w:outlineLvl w:val="4"/>
    </w:pPr>
    <w:rPr>
      <w:rFonts w:ascii="Cambria" w:hAnsi="Cambr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0628D5"/>
    <w:pPr>
      <w:pBdr>
        <w:bottom w:val="single" w:sz="8" w:space="4" w:color="4F81BD"/>
      </w:pBdr>
      <w:spacing w:after="300"/>
      <w:contextualSpacing/>
    </w:pPr>
    <w:rPr>
      <w:rFonts w:eastAsia="MS Gothic"/>
      <w:color w:val="17365D"/>
      <w:spacing w:val="5"/>
      <w:kern w:val="28"/>
      <w:sz w:val="52"/>
      <w:szCs w:val="52"/>
    </w:rPr>
  </w:style>
  <w:style w:type="character" w:customStyle="1" w:styleId="TitleChar">
    <w:name w:val="Title Char"/>
    <w:link w:val="Title"/>
    <w:uiPriority w:val="10"/>
    <w:rsid w:val="000628D5"/>
    <w:rPr>
      <w:rFonts w:ascii="Calibri" w:eastAsia="MS Gothic" w:hAnsi="Calibri" w:cs="Times New Roman"/>
      <w:color w:val="17365D"/>
      <w:spacing w:val="5"/>
      <w:kern w:val="28"/>
      <w:sz w:val="52"/>
      <w:szCs w:val="52"/>
    </w:rPr>
  </w:style>
  <w:style w:type="paragraph" w:styleId="NoSpacing">
    <w:name w:val="No Spacing"/>
    <w:link w:val="NoSpacingChar"/>
    <w:rsid w:val="000628D5"/>
    <w:rPr>
      <w:rFonts w:ascii="Calibri" w:hAnsi="Calibri"/>
    </w:rPr>
  </w:style>
  <w:style w:type="character" w:customStyle="1" w:styleId="Heading1Char">
    <w:name w:val="Heading 1 Char"/>
    <w:aliases w:val="Heading Char"/>
    <w:link w:val="Heading1"/>
    <w:uiPriority w:val="9"/>
    <w:rsid w:val="00E179A8"/>
    <w:rPr>
      <w:rFonts w:ascii="Calibri" w:eastAsia="MS Gothic" w:hAnsi="Calibri"/>
      <w:b/>
      <w:bCs/>
      <w:color w:val="003399"/>
      <w:sz w:val="36"/>
      <w:szCs w:val="28"/>
      <w:lang w:val="en-GB"/>
    </w:rPr>
  </w:style>
  <w:style w:type="paragraph" w:customStyle="1" w:styleId="Basisalinea">
    <w:name w:val="[Basisalinea]"/>
    <w:basedOn w:val="Normal"/>
    <w:uiPriority w:val="99"/>
    <w:rsid w:val="000628D5"/>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Heading2Char">
    <w:name w:val="Heading 2 Char"/>
    <w:aliases w:val="Subheading1 Char"/>
    <w:link w:val="Heading2"/>
    <w:uiPriority w:val="9"/>
    <w:rsid w:val="001D6CDD"/>
    <w:rPr>
      <w:rFonts w:ascii="Calibri" w:eastAsia="MS Gothic" w:hAnsi="Calibri"/>
      <w:b/>
      <w:bCs/>
      <w:color w:val="002087"/>
      <w:sz w:val="30"/>
      <w:szCs w:val="28"/>
      <w:lang w:val="en-GB"/>
    </w:rPr>
  </w:style>
  <w:style w:type="character" w:styleId="SubtleEmphasis">
    <w:name w:val="Subtle Emphasis"/>
    <w:uiPriority w:val="19"/>
    <w:rsid w:val="000628D5"/>
    <w:rPr>
      <w:i/>
      <w:iCs/>
      <w:color w:val="808080"/>
    </w:rPr>
  </w:style>
  <w:style w:type="character" w:styleId="Emphasis">
    <w:name w:val="Emphasis"/>
    <w:uiPriority w:val="20"/>
    <w:rsid w:val="000628D5"/>
    <w:rPr>
      <w:i/>
      <w:iCs/>
    </w:rPr>
  </w:style>
  <w:style w:type="paragraph" w:styleId="Quote">
    <w:name w:val="Quote"/>
    <w:basedOn w:val="Normal"/>
    <w:next w:val="Normal"/>
    <w:link w:val="QuoteChar"/>
    <w:uiPriority w:val="29"/>
    <w:qFormat/>
    <w:rsid w:val="000628D5"/>
    <w:rPr>
      <w:i/>
      <w:iCs/>
      <w:color w:val="000000"/>
    </w:rPr>
  </w:style>
  <w:style w:type="character" w:customStyle="1" w:styleId="QuoteChar">
    <w:name w:val="Quote Char"/>
    <w:link w:val="Quote"/>
    <w:uiPriority w:val="29"/>
    <w:rsid w:val="000628D5"/>
    <w:rPr>
      <w:rFonts w:ascii="Calibri" w:hAnsi="Calibri"/>
      <w:i/>
      <w:iCs/>
      <w:color w:val="000000"/>
      <w:sz w:val="20"/>
      <w:szCs w:val="20"/>
      <w:lang w:val="nl-NL"/>
    </w:rPr>
  </w:style>
  <w:style w:type="paragraph" w:customStyle="1" w:styleId="Introduction">
    <w:name w:val="Introduction"/>
    <w:basedOn w:val="Normal"/>
    <w:qFormat/>
    <w:rsid w:val="00B32377"/>
    <w:pPr>
      <w:spacing w:before="100" w:beforeAutospacing="1" w:line="320" w:lineRule="exact"/>
      <w:contextualSpacing/>
    </w:pPr>
    <w:rPr>
      <w:sz w:val="26"/>
    </w:rPr>
  </w:style>
  <w:style w:type="paragraph" w:styleId="Header">
    <w:name w:val="header"/>
    <w:basedOn w:val="Normal"/>
    <w:link w:val="HeaderChar"/>
    <w:uiPriority w:val="99"/>
    <w:unhideWhenUsed/>
    <w:rsid w:val="00C3552A"/>
    <w:pPr>
      <w:tabs>
        <w:tab w:val="center" w:pos="4536"/>
        <w:tab w:val="right" w:pos="9072"/>
      </w:tabs>
      <w:spacing w:line="240" w:lineRule="auto"/>
    </w:pPr>
  </w:style>
  <w:style w:type="character" w:customStyle="1" w:styleId="HeaderChar">
    <w:name w:val="Header Char"/>
    <w:link w:val="Header"/>
    <w:uiPriority w:val="99"/>
    <w:rsid w:val="00C3552A"/>
    <w:rPr>
      <w:rFonts w:ascii="Calibri" w:hAnsi="Calibri"/>
      <w:sz w:val="20"/>
      <w:szCs w:val="20"/>
      <w:lang w:val="nl-NL"/>
    </w:rPr>
  </w:style>
  <w:style w:type="paragraph" w:styleId="Footer">
    <w:name w:val="footer"/>
    <w:basedOn w:val="Normal"/>
    <w:link w:val="FooterChar"/>
    <w:uiPriority w:val="99"/>
    <w:unhideWhenUsed/>
    <w:rsid w:val="00C3552A"/>
    <w:pPr>
      <w:tabs>
        <w:tab w:val="center" w:pos="4536"/>
        <w:tab w:val="right" w:pos="9072"/>
      </w:tabs>
      <w:spacing w:line="240" w:lineRule="auto"/>
    </w:pPr>
  </w:style>
  <w:style w:type="character" w:customStyle="1" w:styleId="FooterChar">
    <w:name w:val="Footer Char"/>
    <w:link w:val="Footer"/>
    <w:uiPriority w:val="99"/>
    <w:rsid w:val="00C3552A"/>
    <w:rPr>
      <w:rFonts w:ascii="Calibri" w:hAnsi="Calibri"/>
      <w:sz w:val="20"/>
      <w:szCs w:val="20"/>
      <w:lang w:val="nl-NL"/>
    </w:rPr>
  </w:style>
  <w:style w:type="character" w:customStyle="1" w:styleId="NoSpacingChar">
    <w:name w:val="No Spacing Char"/>
    <w:link w:val="NoSpacing"/>
    <w:rsid w:val="00C3552A"/>
    <w:rPr>
      <w:rFonts w:ascii="Calibri" w:hAnsi="Calibri"/>
      <w:sz w:val="20"/>
      <w:szCs w:val="20"/>
      <w:lang w:val="nl-NL"/>
    </w:rPr>
  </w:style>
  <w:style w:type="character" w:styleId="Hyperlink">
    <w:name w:val="Hyperlink"/>
    <w:uiPriority w:val="99"/>
    <w:unhideWhenUsed/>
    <w:rsid w:val="00C3552A"/>
    <w:rPr>
      <w:color w:val="0000FF"/>
      <w:u w:val="single"/>
    </w:rPr>
  </w:style>
  <w:style w:type="paragraph" w:styleId="BalloonText">
    <w:name w:val="Balloon Text"/>
    <w:basedOn w:val="Normal"/>
    <w:link w:val="BalloonTextChar"/>
    <w:uiPriority w:val="99"/>
    <w:semiHidden/>
    <w:unhideWhenUsed/>
    <w:rsid w:val="00C3552A"/>
    <w:pPr>
      <w:spacing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C3552A"/>
    <w:rPr>
      <w:rFonts w:ascii="Lucida Grande" w:hAnsi="Lucida Grande" w:cs="Lucida Grande"/>
      <w:sz w:val="18"/>
      <w:szCs w:val="18"/>
      <w:lang w:val="nl-NL"/>
    </w:rPr>
  </w:style>
  <w:style w:type="paragraph" w:styleId="ListParagraph">
    <w:name w:val="List Paragraph"/>
    <w:basedOn w:val="Normal"/>
    <w:uiPriority w:val="5"/>
    <w:qFormat/>
    <w:rsid w:val="00D24B0F"/>
    <w:pPr>
      <w:ind w:left="720"/>
      <w:contextualSpacing/>
    </w:pPr>
  </w:style>
  <w:style w:type="paragraph" w:customStyle="1" w:styleId="Enumeration">
    <w:name w:val="Enumeration"/>
    <w:basedOn w:val="Normal"/>
    <w:qFormat/>
    <w:rsid w:val="00DE631C"/>
    <w:pPr>
      <w:numPr>
        <w:numId w:val="6"/>
      </w:numPr>
    </w:pPr>
  </w:style>
  <w:style w:type="character" w:styleId="PageNumber">
    <w:name w:val="page number"/>
    <w:uiPriority w:val="99"/>
    <w:semiHidden/>
    <w:unhideWhenUsed/>
    <w:rsid w:val="00D70AD7"/>
  </w:style>
  <w:style w:type="paragraph" w:styleId="TOC1">
    <w:name w:val="toc 1"/>
    <w:basedOn w:val="Normal"/>
    <w:next w:val="Normal"/>
    <w:autoRedefine/>
    <w:uiPriority w:val="39"/>
    <w:unhideWhenUsed/>
    <w:rsid w:val="009B41EB"/>
  </w:style>
  <w:style w:type="paragraph" w:styleId="TOC2">
    <w:name w:val="toc 2"/>
    <w:basedOn w:val="Normal"/>
    <w:next w:val="Normal"/>
    <w:autoRedefine/>
    <w:uiPriority w:val="39"/>
    <w:unhideWhenUsed/>
    <w:rsid w:val="009B41EB"/>
    <w:pPr>
      <w:ind w:left="200"/>
    </w:pPr>
  </w:style>
  <w:style w:type="paragraph" w:styleId="TOC3">
    <w:name w:val="toc 3"/>
    <w:basedOn w:val="Normal"/>
    <w:next w:val="Normal"/>
    <w:autoRedefine/>
    <w:uiPriority w:val="39"/>
    <w:unhideWhenUsed/>
    <w:rsid w:val="009B41EB"/>
    <w:pPr>
      <w:ind w:left="400"/>
    </w:pPr>
  </w:style>
  <w:style w:type="paragraph" w:styleId="TOC4">
    <w:name w:val="toc 4"/>
    <w:basedOn w:val="Normal"/>
    <w:next w:val="Normal"/>
    <w:autoRedefine/>
    <w:uiPriority w:val="39"/>
    <w:unhideWhenUsed/>
    <w:rsid w:val="009B41EB"/>
    <w:pPr>
      <w:ind w:left="600"/>
    </w:pPr>
  </w:style>
  <w:style w:type="paragraph" w:styleId="TOC5">
    <w:name w:val="toc 5"/>
    <w:basedOn w:val="Normal"/>
    <w:next w:val="Normal"/>
    <w:autoRedefine/>
    <w:uiPriority w:val="39"/>
    <w:unhideWhenUsed/>
    <w:rsid w:val="009B41EB"/>
    <w:pPr>
      <w:ind w:left="800"/>
    </w:pPr>
  </w:style>
  <w:style w:type="paragraph" w:styleId="TOC6">
    <w:name w:val="toc 6"/>
    <w:basedOn w:val="Normal"/>
    <w:next w:val="Normal"/>
    <w:autoRedefine/>
    <w:uiPriority w:val="39"/>
    <w:unhideWhenUsed/>
    <w:rsid w:val="009B41EB"/>
    <w:pPr>
      <w:ind w:left="1000"/>
    </w:pPr>
  </w:style>
  <w:style w:type="paragraph" w:styleId="TOC7">
    <w:name w:val="toc 7"/>
    <w:basedOn w:val="Normal"/>
    <w:next w:val="Normal"/>
    <w:autoRedefine/>
    <w:uiPriority w:val="39"/>
    <w:unhideWhenUsed/>
    <w:rsid w:val="009B41EB"/>
    <w:pPr>
      <w:ind w:left="1200"/>
    </w:pPr>
  </w:style>
  <w:style w:type="paragraph" w:styleId="TOC8">
    <w:name w:val="toc 8"/>
    <w:basedOn w:val="Normal"/>
    <w:next w:val="Normal"/>
    <w:autoRedefine/>
    <w:uiPriority w:val="39"/>
    <w:unhideWhenUsed/>
    <w:rsid w:val="009B41EB"/>
    <w:pPr>
      <w:ind w:left="1400"/>
    </w:pPr>
  </w:style>
  <w:style w:type="paragraph" w:styleId="TOC9">
    <w:name w:val="toc 9"/>
    <w:basedOn w:val="Normal"/>
    <w:next w:val="Normal"/>
    <w:autoRedefine/>
    <w:uiPriority w:val="39"/>
    <w:unhideWhenUsed/>
    <w:rsid w:val="009B41EB"/>
    <w:pPr>
      <w:ind w:left="1600"/>
    </w:pPr>
  </w:style>
  <w:style w:type="character" w:customStyle="1" w:styleId="Heading3Char">
    <w:name w:val="Heading 3 Char"/>
    <w:aliases w:val="Subheading2 Char"/>
    <w:link w:val="Heading3"/>
    <w:uiPriority w:val="9"/>
    <w:rsid w:val="00180210"/>
    <w:rPr>
      <w:rFonts w:ascii="Calibri" w:eastAsia="MS Gothic" w:hAnsi="Calibri"/>
      <w:b/>
      <w:bCs/>
      <w:color w:val="002087"/>
      <w:sz w:val="26"/>
      <w:szCs w:val="28"/>
      <w:lang w:val="en-GB"/>
    </w:rPr>
  </w:style>
  <w:style w:type="character" w:customStyle="1" w:styleId="Heading4Char">
    <w:name w:val="Heading 4 Char"/>
    <w:aliases w:val="Subheading3 Char"/>
    <w:link w:val="Heading4"/>
    <w:uiPriority w:val="9"/>
    <w:rsid w:val="00180210"/>
    <w:rPr>
      <w:rFonts w:ascii="Calibri" w:hAnsi="Calibri"/>
      <w:b/>
      <w:color w:val="002087"/>
      <w:sz w:val="22"/>
      <w:szCs w:val="24"/>
      <w:lang w:val="en-GB"/>
    </w:rPr>
  </w:style>
  <w:style w:type="character" w:customStyle="1" w:styleId="Heading5Char">
    <w:name w:val="Heading 5 Char"/>
    <w:link w:val="Heading5"/>
    <w:uiPriority w:val="9"/>
    <w:rsid w:val="00C919D7"/>
    <w:rPr>
      <w:rFonts w:ascii="Cambria" w:eastAsia="MS Mincho" w:hAnsi="Cambria" w:cs="Times New Roman"/>
      <w:b/>
      <w:bCs/>
      <w:i/>
      <w:iCs/>
      <w:sz w:val="26"/>
      <w:szCs w:val="26"/>
      <w:lang w:val="en-GB"/>
    </w:rPr>
  </w:style>
  <w:style w:type="paragraph" w:customStyle="1" w:styleId="Kop3">
    <w:name w:val="Kop3"/>
    <w:basedOn w:val="Normal"/>
    <w:rsid w:val="00741CEC"/>
  </w:style>
  <w:style w:type="table" w:styleId="TableGrid">
    <w:name w:val="Table Grid"/>
    <w:basedOn w:val="TableNormal"/>
    <w:uiPriority w:val="59"/>
    <w:rsid w:val="004B2A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jl1">
    <w:name w:val="Stijl1"/>
    <w:basedOn w:val="Normal"/>
    <w:rsid w:val="004B2A78"/>
    <w:rPr>
      <w:rFonts w:asciiTheme="majorHAnsi" w:hAnsiTheme="majorHAnsi"/>
      <w:lang w:val="nl-NL"/>
    </w:rPr>
  </w:style>
  <w:style w:type="paragraph" w:customStyle="1" w:styleId="Vrijevorm">
    <w:name w:val="Vrije vorm"/>
    <w:rsid w:val="00900DA5"/>
    <w:rPr>
      <w:rFonts w:ascii="Helvetica" w:eastAsia="ヒラギノ角ゴ Pro W3" w:hAnsi="Helvetica"/>
      <w:color w:val="000000"/>
      <w:sz w:val="24"/>
    </w:rPr>
  </w:style>
  <w:style w:type="paragraph" w:customStyle="1" w:styleId="frontpageSubheading">
    <w:name w:val="frontpage Subheading"/>
    <w:basedOn w:val="Normal"/>
    <w:qFormat/>
    <w:rsid w:val="00900DA5"/>
    <w:pPr>
      <w:spacing w:after="40"/>
    </w:pPr>
    <w:rPr>
      <w:b/>
      <w:color w:val="002087"/>
      <w:sz w:val="16"/>
      <w:lang w:val="en-US"/>
    </w:rPr>
  </w:style>
  <w:style w:type="paragraph" w:styleId="FootnoteText">
    <w:name w:val="footnote text"/>
    <w:aliases w:val="Schriftart: 9 pt,Schriftart: 10 pt,Schriftart: 8 pt,WB-Fußnotentext,fn,Footnotes,Footnote ak,Footnote Text Char,FoodNote,ft,Footnote text,Footnote,Footnote Text Char1,Footnote Text Char Char,Footnote Text Char1 Char Char,Podrozdział"/>
    <w:basedOn w:val="Normal"/>
    <w:link w:val="FootnoteTextChar2"/>
    <w:semiHidden/>
    <w:rsid w:val="002C48A4"/>
    <w:pPr>
      <w:spacing w:after="200" w:line="276" w:lineRule="auto"/>
      <w:ind w:left="357" w:hanging="357"/>
      <w:jc w:val="both"/>
    </w:pPr>
    <w:rPr>
      <w:rFonts w:eastAsiaTheme="minorEastAsia" w:cstheme="minorBidi"/>
      <w:color w:val="000F43" w:themeColor="text2" w:themeShade="80"/>
      <w:sz w:val="24"/>
      <w:szCs w:val="24"/>
      <w:lang w:val="nl-NL"/>
    </w:rPr>
  </w:style>
  <w:style w:type="character" w:customStyle="1" w:styleId="FootnoteTextChar2">
    <w:name w:val="Footnote Text Char2"/>
    <w:aliases w:val="Schriftart: 9 pt Char,Schriftart: 10 pt Char,Schriftart: 8 pt Char,WB-Fußnotentext Char,fn Char,Footnotes Char,Footnote ak Char,Footnote Text Char Char1,FoodNote Char,ft Char,Footnote text Char,Footnote Char,Footnote Text Char1 Char"/>
    <w:basedOn w:val="DefaultParagraphFont"/>
    <w:link w:val="FootnoteText"/>
    <w:semiHidden/>
    <w:rsid w:val="002C48A4"/>
    <w:rPr>
      <w:rFonts w:ascii="Calibri" w:eastAsiaTheme="minorEastAsia" w:hAnsi="Calibri" w:cstheme="minorBidi"/>
      <w:color w:val="000F43" w:themeColor="text2" w:themeShade="80"/>
      <w:sz w:val="24"/>
      <w:szCs w:val="24"/>
    </w:rPr>
  </w:style>
  <w:style w:type="character" w:styleId="FootnoteReference">
    <w:name w:val="footnote reference"/>
    <w:aliases w:val="Footnote symbol,Times 10 Point,Exposant 3 Point"/>
    <w:semiHidden/>
    <w:rsid w:val="002C48A4"/>
    <w:rPr>
      <w:vertAlign w:val="superscript"/>
    </w:rPr>
  </w:style>
  <w:style w:type="paragraph" w:customStyle="1" w:styleId="Foottext">
    <w:name w:val="Foottext"/>
    <w:basedOn w:val="Footer"/>
    <w:qFormat/>
    <w:rsid w:val="007E252B"/>
    <w:pPr>
      <w:ind w:left="284"/>
    </w:pPr>
    <w:rPr>
      <w:color w:val="000000" w:themeColor="text1"/>
      <w:lang w:val="en-US"/>
    </w:rPr>
  </w:style>
  <w:style w:type="character" w:customStyle="1" w:styleId="UnresolvedMention1">
    <w:name w:val="Unresolved Mention1"/>
    <w:basedOn w:val="DefaultParagraphFont"/>
    <w:uiPriority w:val="99"/>
    <w:semiHidden/>
    <w:unhideWhenUsed/>
    <w:rsid w:val="000152AA"/>
    <w:rPr>
      <w:color w:val="808080"/>
      <w:shd w:val="clear" w:color="auto" w:fill="E6E6E6"/>
    </w:rPr>
  </w:style>
  <w:style w:type="paragraph" w:styleId="Caption">
    <w:name w:val="caption"/>
    <w:basedOn w:val="Normal"/>
    <w:next w:val="Normal"/>
    <w:uiPriority w:val="35"/>
    <w:unhideWhenUsed/>
    <w:qFormat/>
    <w:rsid w:val="00277FCF"/>
    <w:pPr>
      <w:spacing w:after="200" w:line="240" w:lineRule="auto"/>
    </w:pPr>
    <w:rPr>
      <w:i/>
      <w:iCs/>
      <w:color w:val="002087" w:themeColor="text2"/>
      <w:sz w:val="18"/>
      <w:szCs w:val="18"/>
    </w:rPr>
  </w:style>
  <w:style w:type="table" w:styleId="GridTable4-Accent6">
    <w:name w:val="Grid Table 4 Accent 6"/>
    <w:basedOn w:val="TableNormal"/>
    <w:uiPriority w:val="49"/>
    <w:rsid w:val="00EF045B"/>
    <w:rPr>
      <w:rFonts w:asciiTheme="minorHAnsi" w:eastAsiaTheme="minorHAnsi" w:hAnsiTheme="minorHAnsi" w:cstheme="minorBidi"/>
      <w:sz w:val="22"/>
      <w:szCs w:val="22"/>
      <w:lang w:val="hu-HU" w:eastAsia="en-US"/>
    </w:rPr>
    <w:tblPr>
      <w:tblStyleRowBandSize w:val="1"/>
      <w:tblStyleColBandSize w:val="1"/>
      <w:tblBorders>
        <w:top w:val="single" w:sz="4" w:space="0" w:color="D2ECF6" w:themeColor="accent6" w:themeTint="99"/>
        <w:left w:val="single" w:sz="4" w:space="0" w:color="D2ECF6" w:themeColor="accent6" w:themeTint="99"/>
        <w:bottom w:val="single" w:sz="4" w:space="0" w:color="D2ECF6" w:themeColor="accent6" w:themeTint="99"/>
        <w:right w:val="single" w:sz="4" w:space="0" w:color="D2ECF6" w:themeColor="accent6" w:themeTint="99"/>
        <w:insideH w:val="single" w:sz="4" w:space="0" w:color="D2ECF6" w:themeColor="accent6" w:themeTint="99"/>
        <w:insideV w:val="single" w:sz="4" w:space="0" w:color="D2ECF6" w:themeColor="accent6" w:themeTint="99"/>
      </w:tblBorders>
    </w:tblPr>
    <w:tblStylePr w:type="firstRow">
      <w:rPr>
        <w:b/>
        <w:bCs/>
        <w:color w:val="FFFFFF" w:themeColor="background1"/>
      </w:rPr>
      <w:tblPr/>
      <w:tcPr>
        <w:tcBorders>
          <w:top w:val="single" w:sz="4" w:space="0" w:color="B4E1F0" w:themeColor="accent6"/>
          <w:left w:val="single" w:sz="4" w:space="0" w:color="B4E1F0" w:themeColor="accent6"/>
          <w:bottom w:val="single" w:sz="4" w:space="0" w:color="B4E1F0" w:themeColor="accent6"/>
          <w:right w:val="single" w:sz="4" w:space="0" w:color="B4E1F0" w:themeColor="accent6"/>
          <w:insideH w:val="nil"/>
          <w:insideV w:val="nil"/>
        </w:tcBorders>
        <w:shd w:val="clear" w:color="auto" w:fill="B4E1F0" w:themeFill="accent6"/>
      </w:tcPr>
    </w:tblStylePr>
    <w:tblStylePr w:type="lastRow">
      <w:rPr>
        <w:b/>
        <w:bCs/>
      </w:rPr>
      <w:tblPr/>
      <w:tcPr>
        <w:tcBorders>
          <w:top w:val="double" w:sz="4" w:space="0" w:color="B4E1F0" w:themeColor="accent6"/>
        </w:tcBorders>
      </w:tcPr>
    </w:tblStylePr>
    <w:tblStylePr w:type="firstCol">
      <w:rPr>
        <w:b/>
        <w:bCs/>
      </w:rPr>
    </w:tblStylePr>
    <w:tblStylePr w:type="lastCol">
      <w:rPr>
        <w:b/>
        <w:bCs/>
      </w:rPr>
    </w:tblStylePr>
    <w:tblStylePr w:type="band1Vert">
      <w:tblPr/>
      <w:tcPr>
        <w:shd w:val="clear" w:color="auto" w:fill="F0F8FC" w:themeFill="accent6" w:themeFillTint="33"/>
      </w:tcPr>
    </w:tblStylePr>
    <w:tblStylePr w:type="band1Horz">
      <w:tblPr/>
      <w:tcPr>
        <w:shd w:val="clear" w:color="auto" w:fill="F0F8FC" w:themeFill="accent6" w:themeFillTint="33"/>
      </w:tcPr>
    </w:tblStylePr>
  </w:style>
  <w:style w:type="character" w:styleId="FollowedHyperlink">
    <w:name w:val="FollowedHyperlink"/>
    <w:basedOn w:val="DefaultParagraphFont"/>
    <w:uiPriority w:val="99"/>
    <w:semiHidden/>
    <w:unhideWhenUsed/>
    <w:rsid w:val="00D819B9"/>
    <w:rPr>
      <w:color w:val="053534" w:themeColor="followedHyperlink"/>
      <w:u w:val="single"/>
    </w:rPr>
  </w:style>
  <w:style w:type="character" w:styleId="CommentReference">
    <w:name w:val="annotation reference"/>
    <w:basedOn w:val="DefaultParagraphFont"/>
    <w:uiPriority w:val="99"/>
    <w:semiHidden/>
    <w:unhideWhenUsed/>
    <w:rsid w:val="006C579E"/>
    <w:rPr>
      <w:sz w:val="18"/>
      <w:szCs w:val="18"/>
    </w:rPr>
  </w:style>
  <w:style w:type="paragraph" w:styleId="CommentText">
    <w:name w:val="annotation text"/>
    <w:basedOn w:val="Normal"/>
    <w:link w:val="CommentTextChar"/>
    <w:uiPriority w:val="99"/>
    <w:semiHidden/>
    <w:unhideWhenUsed/>
    <w:rsid w:val="006C579E"/>
    <w:pPr>
      <w:spacing w:line="240" w:lineRule="auto"/>
    </w:pPr>
    <w:rPr>
      <w:sz w:val="24"/>
      <w:szCs w:val="24"/>
    </w:rPr>
  </w:style>
  <w:style w:type="character" w:customStyle="1" w:styleId="CommentTextChar">
    <w:name w:val="Comment Text Char"/>
    <w:basedOn w:val="DefaultParagraphFont"/>
    <w:link w:val="CommentText"/>
    <w:uiPriority w:val="99"/>
    <w:semiHidden/>
    <w:rsid w:val="006C579E"/>
    <w:rPr>
      <w:rFonts w:ascii="Calibri" w:hAnsi="Calibri"/>
      <w:sz w:val="24"/>
      <w:szCs w:val="24"/>
      <w:lang w:val="en-GB"/>
    </w:rPr>
  </w:style>
  <w:style w:type="paragraph" w:styleId="CommentSubject">
    <w:name w:val="annotation subject"/>
    <w:basedOn w:val="CommentText"/>
    <w:next w:val="CommentText"/>
    <w:link w:val="CommentSubjectChar"/>
    <w:uiPriority w:val="99"/>
    <w:semiHidden/>
    <w:unhideWhenUsed/>
    <w:rsid w:val="006C579E"/>
    <w:rPr>
      <w:b/>
      <w:bCs/>
      <w:sz w:val="20"/>
      <w:szCs w:val="20"/>
    </w:rPr>
  </w:style>
  <w:style w:type="character" w:customStyle="1" w:styleId="CommentSubjectChar">
    <w:name w:val="Comment Subject Char"/>
    <w:basedOn w:val="CommentTextChar"/>
    <w:link w:val="CommentSubject"/>
    <w:uiPriority w:val="99"/>
    <w:semiHidden/>
    <w:rsid w:val="006C579E"/>
    <w:rPr>
      <w:rFonts w:ascii="Calibri" w:hAnsi="Calibri"/>
      <w:b/>
      <w:bCs/>
      <w:sz w:val="24"/>
      <w:szCs w:val="24"/>
      <w:lang w:val="en-GB"/>
    </w:rPr>
  </w:style>
  <w:style w:type="character" w:styleId="UnresolvedMention">
    <w:name w:val="Unresolved Mention"/>
    <w:basedOn w:val="DefaultParagraphFont"/>
    <w:uiPriority w:val="99"/>
    <w:rsid w:val="00590D2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32564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thegedi.org/global-entrepreneurship-and-development-index/" TargetMode="External"/><Relationship Id="rId26" Type="http://schemas.openxmlformats.org/officeDocument/2006/relationships/hyperlink" Target="http://www.projectfires.eu/wp-content/uploads/2018/02/D5.12-Country-Report-Italy-Unformatted.pdf" TargetMode="External"/><Relationship Id="rId3" Type="http://schemas.openxmlformats.org/officeDocument/2006/relationships/styles" Target="styles.xml"/><Relationship Id="rId21" Type="http://schemas.openxmlformats.org/officeDocument/2006/relationships/hyperlink" Target="http://www.projectfires.eu/wp-content/uploads/2018/02/D4.4-REVISED.pdf" TargetMode="External"/><Relationship Id="rId34" Type="http://schemas.openxmlformats.org/officeDocument/2006/relationships/hyperlink" Target="http://www.projectfires.eu/d5-12-country-report-italy-final/"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projectfires.eu/wp-content/uploads/2018/02/D5.12-Country-Report-Italy-Unformatted.pdf" TargetMode="External"/><Relationship Id="rId25" Type="http://schemas.openxmlformats.org/officeDocument/2006/relationships/image" Target="media/image9.png"/><Relationship Id="rId33" Type="http://schemas.openxmlformats.org/officeDocument/2006/relationships/hyperlink" Target="http://www.projectfires.eu/wp-content/uploads/2018/02/D5-6-REVISED.pdf"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projectfires.eu/wp-content/uploads/2018/02/D4.1-REVISED.pdf" TargetMode="External"/><Relationship Id="rId29" Type="http://schemas.openxmlformats.org/officeDocument/2006/relationships/hyperlink" Target="http://www.doingbusiness.org/~/media/WBG/DoingBusiness/Documents/Annual-Reports/English/DB2018-Full-Repor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hyperlink" Target="http://www.projectfires.eu/wp-content/uploads/2018/02/D4.4-REVISED.pdf"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hyperlink" Target="http://www.projectfires.eu/wp-content/uploads/2018/02/D5.12_Part_I_v10.pdf"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thegedi.org/the-redi-measuring-regional-entrepreneurship-in-europe/" TargetMode="External"/><Relationship Id="rId31" Type="http://schemas.openxmlformats.org/officeDocument/2006/relationships/hyperlink" Target="http://www.projectfires.eu/wp-content/uploads/2018/02/D4.1-REVISED.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hyperlink" Target="http://www.projectfires.eu/wp-content/uploads/2018/02/FIRESproposals_v9.pdf" TargetMode="External"/><Relationship Id="rId30" Type="http://schemas.openxmlformats.org/officeDocument/2006/relationships/hyperlink" Target="http://www.projectfires.eu" TargetMode="External"/><Relationship Id="rId35" Type="http://schemas.openxmlformats.org/officeDocument/2006/relationships/fontTable" Target="fontTable.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s://nicholascharron.wordpress.com/european-quality-of-government-index-eqi/"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Fires theme v1.0 i1.1">
  <a:themeElements>
    <a:clrScheme name="Aangepast 1">
      <a:dk1>
        <a:sysClr val="windowText" lastClr="000000"/>
      </a:dk1>
      <a:lt1>
        <a:sysClr val="window" lastClr="FFFFFF"/>
      </a:lt1>
      <a:dk2>
        <a:srgbClr val="002087"/>
      </a:dk2>
      <a:lt2>
        <a:srgbClr val="EEECE1"/>
      </a:lt2>
      <a:accent1>
        <a:srgbClr val="002087"/>
      </a:accent1>
      <a:accent2>
        <a:srgbClr val="F49300"/>
      </a:accent2>
      <a:accent3>
        <a:srgbClr val="FAC009"/>
      </a:accent3>
      <a:accent4>
        <a:srgbClr val="DD3836"/>
      </a:accent4>
      <a:accent5>
        <a:srgbClr val="D5D5D5"/>
      </a:accent5>
      <a:accent6>
        <a:srgbClr val="B4E1F0"/>
      </a:accent6>
      <a:hlink>
        <a:srgbClr val="002087"/>
      </a:hlink>
      <a:folHlink>
        <a:srgbClr val="05353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4E470-B457-0149-B6BD-EF41255DF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6330</Words>
  <Characters>36085</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Everybody Likes Penguins</Company>
  <LinksUpToDate>false</LinksUpToDate>
  <CharactersWithSpaces>42331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Chýlková, M. (Martina)</dc:creator>
  <cp:lastModifiedBy>Mark Sanders</cp:lastModifiedBy>
  <cp:revision>3</cp:revision>
  <cp:lastPrinted>2015-06-22T09:59:00Z</cp:lastPrinted>
  <dcterms:created xsi:type="dcterms:W3CDTF">2018-03-14T08:07:00Z</dcterms:created>
  <dcterms:modified xsi:type="dcterms:W3CDTF">2018-03-14T08:13:00Z</dcterms:modified>
</cp:coreProperties>
</file>